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40ED5" w14:textId="77777777" w:rsidR="00586207" w:rsidRDefault="00DF3F8F">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45952" behindDoc="1" locked="0" layoutInCell="0" allowOverlap="1" wp14:anchorId="7E355D03" wp14:editId="603E3147">
            <wp:simplePos x="0" y="0"/>
            <wp:positionH relativeFrom="page">
              <wp:posOffset>5522976</wp:posOffset>
            </wp:positionH>
            <wp:positionV relativeFrom="page">
              <wp:posOffset>256032</wp:posOffset>
            </wp:positionV>
            <wp:extent cx="1280160" cy="1182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blip>
                    <a:srcRect/>
                    <a:stretch>
                      <a:fillRect/>
                    </a:stretch>
                  </pic:blipFill>
                  <pic:spPr bwMode="auto">
                    <a:xfrm>
                      <a:off x="0" y="0"/>
                      <a:ext cx="1280160" cy="1182624"/>
                    </a:xfrm>
                    <a:prstGeom prst="rect">
                      <a:avLst/>
                    </a:prstGeom>
                    <a:noFill/>
                  </pic:spPr>
                </pic:pic>
              </a:graphicData>
            </a:graphic>
          </wp:anchor>
        </w:drawing>
      </w:r>
    </w:p>
    <w:p w14:paraId="0CE9FF1D" w14:textId="77777777" w:rsidR="00586207" w:rsidRDefault="00586207">
      <w:pPr>
        <w:spacing w:line="200" w:lineRule="exact"/>
        <w:rPr>
          <w:sz w:val="24"/>
          <w:szCs w:val="24"/>
        </w:rPr>
      </w:pPr>
    </w:p>
    <w:p w14:paraId="07ECA739" w14:textId="77777777" w:rsidR="00586207" w:rsidRDefault="00586207">
      <w:pPr>
        <w:spacing w:line="200" w:lineRule="exact"/>
        <w:rPr>
          <w:sz w:val="24"/>
          <w:szCs w:val="24"/>
        </w:rPr>
      </w:pPr>
    </w:p>
    <w:p w14:paraId="1CD7E537" w14:textId="77777777" w:rsidR="00586207" w:rsidRDefault="00586207">
      <w:pPr>
        <w:spacing w:line="200" w:lineRule="exact"/>
        <w:rPr>
          <w:sz w:val="24"/>
          <w:szCs w:val="24"/>
        </w:rPr>
      </w:pPr>
    </w:p>
    <w:p w14:paraId="2181289A" w14:textId="77777777" w:rsidR="00586207" w:rsidRDefault="00586207">
      <w:pPr>
        <w:spacing w:line="200" w:lineRule="exact"/>
        <w:rPr>
          <w:sz w:val="24"/>
          <w:szCs w:val="24"/>
        </w:rPr>
      </w:pPr>
    </w:p>
    <w:p w14:paraId="72FF6991" w14:textId="453D6A67" w:rsidR="00586207" w:rsidRDefault="00AF1EAC" w:rsidP="00F33ACB">
      <w:pPr>
        <w:tabs>
          <w:tab w:val="left" w:pos="5906"/>
        </w:tabs>
        <w:spacing w:line="200" w:lineRule="exact"/>
        <w:rPr>
          <w:sz w:val="24"/>
          <w:szCs w:val="24"/>
        </w:rPr>
      </w:pPr>
      <w:r>
        <w:rPr>
          <w:sz w:val="24"/>
          <w:szCs w:val="24"/>
        </w:rPr>
        <w:tab/>
      </w:r>
    </w:p>
    <w:p w14:paraId="4B81E6C5" w14:textId="77777777" w:rsidR="00586207" w:rsidRDefault="00586207">
      <w:pPr>
        <w:spacing w:line="200" w:lineRule="exact"/>
        <w:rPr>
          <w:sz w:val="24"/>
          <w:szCs w:val="24"/>
        </w:rPr>
      </w:pPr>
    </w:p>
    <w:p w14:paraId="10465F59" w14:textId="77777777" w:rsidR="00586207" w:rsidRDefault="00586207">
      <w:pPr>
        <w:spacing w:line="200" w:lineRule="exact"/>
        <w:rPr>
          <w:sz w:val="24"/>
          <w:szCs w:val="24"/>
        </w:rPr>
      </w:pPr>
    </w:p>
    <w:p w14:paraId="70295289" w14:textId="19EC3878" w:rsidR="00586207" w:rsidRPr="00B84E6C" w:rsidRDefault="00DF3F8F" w:rsidP="00F33ACB">
      <w:pPr>
        <w:jc w:val="center"/>
        <w:rPr>
          <w:color w:val="4F81BD" w:themeColor="accent1"/>
          <w:sz w:val="40"/>
          <w:szCs w:val="40"/>
        </w:rPr>
      </w:pPr>
      <w:r w:rsidRPr="00B84E6C">
        <w:rPr>
          <w:rFonts w:ascii="Arial" w:eastAsia="Arial" w:hAnsi="Arial" w:cs="Arial"/>
          <w:b/>
          <w:bCs/>
          <w:color w:val="4F81BD" w:themeColor="accent1"/>
          <w:sz w:val="40"/>
          <w:szCs w:val="40"/>
        </w:rPr>
        <w:t xml:space="preserve">Understanding National Trading Standards Governance and </w:t>
      </w:r>
      <w:r w:rsidR="00846E75">
        <w:rPr>
          <w:rFonts w:ascii="Arial" w:eastAsia="Arial" w:hAnsi="Arial" w:cs="Arial"/>
          <w:b/>
          <w:bCs/>
          <w:color w:val="4F81BD" w:themeColor="accent1"/>
          <w:sz w:val="40"/>
          <w:szCs w:val="40"/>
        </w:rPr>
        <w:t>A</w:t>
      </w:r>
      <w:r w:rsidRPr="00B84E6C">
        <w:rPr>
          <w:rFonts w:ascii="Arial" w:eastAsia="Arial" w:hAnsi="Arial" w:cs="Arial"/>
          <w:b/>
          <w:bCs/>
          <w:color w:val="4F81BD" w:themeColor="accent1"/>
          <w:sz w:val="40"/>
          <w:szCs w:val="40"/>
        </w:rPr>
        <w:t>ccountability</w:t>
      </w:r>
    </w:p>
    <w:p w14:paraId="7C505710" w14:textId="77777777" w:rsidR="00586207" w:rsidRPr="00B84E6C" w:rsidRDefault="00586207" w:rsidP="00F33ACB">
      <w:pPr>
        <w:spacing w:line="200" w:lineRule="exact"/>
        <w:jc w:val="center"/>
        <w:rPr>
          <w:color w:val="4F81BD" w:themeColor="accent1"/>
          <w:sz w:val="24"/>
          <w:szCs w:val="24"/>
        </w:rPr>
      </w:pPr>
    </w:p>
    <w:p w14:paraId="31290669" w14:textId="77777777" w:rsidR="00586207" w:rsidRPr="00B84E6C" w:rsidRDefault="00586207" w:rsidP="00F33ACB">
      <w:pPr>
        <w:spacing w:line="200" w:lineRule="exact"/>
        <w:jc w:val="center"/>
        <w:rPr>
          <w:color w:val="4F81BD" w:themeColor="accent1"/>
          <w:sz w:val="24"/>
          <w:szCs w:val="24"/>
        </w:rPr>
      </w:pPr>
    </w:p>
    <w:p w14:paraId="0DE7BEE4" w14:textId="77777777" w:rsidR="00586207" w:rsidRPr="00B84E6C" w:rsidRDefault="00586207">
      <w:pPr>
        <w:spacing w:line="346" w:lineRule="exact"/>
        <w:rPr>
          <w:color w:val="4F81BD" w:themeColor="accent1"/>
          <w:sz w:val="24"/>
          <w:szCs w:val="24"/>
        </w:rPr>
      </w:pPr>
    </w:p>
    <w:p w14:paraId="0E92F504" w14:textId="77777777" w:rsidR="00586207" w:rsidRPr="00B84E6C" w:rsidRDefault="00DF3F8F" w:rsidP="00CC6E43">
      <w:pPr>
        <w:numPr>
          <w:ilvl w:val="0"/>
          <w:numId w:val="1"/>
        </w:numPr>
        <w:tabs>
          <w:tab w:val="left" w:pos="560"/>
        </w:tabs>
        <w:spacing w:line="300" w:lineRule="auto"/>
        <w:ind w:left="560" w:hanging="559"/>
        <w:rPr>
          <w:rFonts w:ascii="Arial" w:eastAsia="Arial" w:hAnsi="Arial" w:cs="Arial"/>
          <w:b/>
          <w:bCs/>
          <w:color w:val="4F81BD" w:themeColor="accent1"/>
          <w:sz w:val="28"/>
          <w:szCs w:val="28"/>
        </w:rPr>
      </w:pPr>
      <w:r w:rsidRPr="00B84E6C">
        <w:rPr>
          <w:rFonts w:ascii="Arial" w:eastAsia="Arial" w:hAnsi="Arial" w:cs="Arial"/>
          <w:b/>
          <w:bCs/>
          <w:color w:val="4F81BD" w:themeColor="accent1"/>
          <w:sz w:val="28"/>
          <w:szCs w:val="28"/>
        </w:rPr>
        <w:t>What is National Trading Standards (NTS)?</w:t>
      </w:r>
    </w:p>
    <w:p w14:paraId="36CE592B" w14:textId="77777777" w:rsidR="00586207" w:rsidRPr="00CC6E43" w:rsidRDefault="00586207" w:rsidP="00CC6E43">
      <w:pPr>
        <w:spacing w:line="300" w:lineRule="auto"/>
        <w:rPr>
          <w:rFonts w:ascii="Arial" w:hAnsi="Arial" w:cs="Arial"/>
          <w:sz w:val="24"/>
          <w:szCs w:val="24"/>
        </w:rPr>
      </w:pPr>
    </w:p>
    <w:p w14:paraId="253FA1BC" w14:textId="0FA731E5" w:rsidR="00586207" w:rsidRPr="00CC6E43" w:rsidRDefault="00DF3F8F" w:rsidP="00CC6E43">
      <w:pPr>
        <w:spacing w:line="300" w:lineRule="auto"/>
        <w:ind w:right="28"/>
        <w:rPr>
          <w:rFonts w:ascii="Arial" w:hAnsi="Arial" w:cs="Arial"/>
          <w:sz w:val="24"/>
          <w:szCs w:val="24"/>
        </w:rPr>
      </w:pPr>
      <w:r w:rsidRPr="00CC6E43">
        <w:rPr>
          <w:rFonts w:ascii="Arial" w:eastAsia="Arial" w:hAnsi="Arial" w:cs="Arial"/>
          <w:sz w:val="24"/>
          <w:szCs w:val="24"/>
        </w:rPr>
        <w:t>National Trading Standards (NTS) w</w:t>
      </w:r>
      <w:r w:rsidR="00CC6E43">
        <w:rPr>
          <w:rFonts w:ascii="Arial" w:eastAsia="Arial" w:hAnsi="Arial" w:cs="Arial"/>
          <w:sz w:val="24"/>
          <w:szCs w:val="24"/>
        </w:rPr>
        <w:t>as established in 2012, by the G</w:t>
      </w:r>
      <w:r w:rsidRPr="00CC6E43">
        <w:rPr>
          <w:rFonts w:ascii="Arial" w:eastAsia="Arial" w:hAnsi="Arial" w:cs="Arial"/>
          <w:sz w:val="24"/>
          <w:szCs w:val="24"/>
        </w:rPr>
        <w:t>overnment, as part of its changes to the bodies responsible for consumer protection and advice. The primary role of NTS is to undertake those consumer protection activities, best done via Trading Standards, but which require a cross border, regional or national focus. The support offered by NTS built upon the existing communication routes and working relationships between local authorities, but it also put in place structures to make transparent decisions about how funds are spent on regional and national work and provide robust financial monitoring. The work of NTS does not impact on trading standards activities that relate to local threats and issues, which remain wholly governed by local authority decision-making and processes.</w:t>
      </w:r>
      <w:r w:rsidR="002B25FB">
        <w:rPr>
          <w:rFonts w:ascii="Arial" w:eastAsia="Arial" w:hAnsi="Arial" w:cs="Arial"/>
          <w:sz w:val="24"/>
          <w:szCs w:val="24"/>
        </w:rPr>
        <w:t xml:space="preserve"> This work is done on behalf of the Department for Business Energy and Industrial </w:t>
      </w:r>
      <w:r w:rsidR="00B84E6C">
        <w:rPr>
          <w:rFonts w:ascii="Arial" w:eastAsia="Arial" w:hAnsi="Arial" w:cs="Arial"/>
          <w:sz w:val="24"/>
          <w:szCs w:val="24"/>
        </w:rPr>
        <w:t>Strategy</w:t>
      </w:r>
      <w:r w:rsidR="002B25FB">
        <w:rPr>
          <w:rFonts w:ascii="Arial" w:eastAsia="Arial" w:hAnsi="Arial" w:cs="Arial"/>
          <w:sz w:val="24"/>
          <w:szCs w:val="24"/>
        </w:rPr>
        <w:t xml:space="preserve"> (BEIS).</w:t>
      </w:r>
    </w:p>
    <w:p w14:paraId="152C7E58" w14:textId="77777777" w:rsidR="00586207" w:rsidRPr="00CC6E43" w:rsidRDefault="00586207" w:rsidP="00CC6E43">
      <w:pPr>
        <w:spacing w:line="300" w:lineRule="auto"/>
        <w:rPr>
          <w:rFonts w:ascii="Arial" w:hAnsi="Arial" w:cs="Arial"/>
          <w:sz w:val="24"/>
          <w:szCs w:val="24"/>
        </w:rPr>
      </w:pPr>
    </w:p>
    <w:p w14:paraId="21BAFD17" w14:textId="3FF76B44" w:rsidR="008629D3" w:rsidRDefault="00DF3F8F" w:rsidP="00CC6E43">
      <w:pPr>
        <w:spacing w:line="300" w:lineRule="auto"/>
        <w:ind w:right="148"/>
        <w:rPr>
          <w:rFonts w:ascii="Arial" w:eastAsia="Arial" w:hAnsi="Arial" w:cs="Arial"/>
          <w:sz w:val="24"/>
          <w:szCs w:val="24"/>
        </w:rPr>
      </w:pPr>
      <w:r w:rsidRPr="00CC6E43">
        <w:rPr>
          <w:rFonts w:ascii="Arial" w:eastAsia="Arial" w:hAnsi="Arial" w:cs="Arial"/>
          <w:sz w:val="24"/>
          <w:szCs w:val="24"/>
        </w:rPr>
        <w:t xml:space="preserve">NTS is at the core of a ground breaking partnership between central government, local authorities and professional bodies that has been created in response to shrinking public funds. NTS helps to deliver grant funding to local authorities for cross border working and specified central priorities, while still using and supporting local expertise and structures. The model has been so successful that NTS is now </w:t>
      </w:r>
      <w:r w:rsidR="002B25FB">
        <w:rPr>
          <w:rFonts w:ascii="Arial" w:eastAsia="Arial" w:hAnsi="Arial" w:cs="Arial"/>
          <w:sz w:val="24"/>
          <w:szCs w:val="24"/>
        </w:rPr>
        <w:t xml:space="preserve">also </w:t>
      </w:r>
      <w:r w:rsidRPr="00CC6E43">
        <w:rPr>
          <w:rFonts w:ascii="Arial" w:eastAsia="Arial" w:hAnsi="Arial" w:cs="Arial"/>
          <w:sz w:val="24"/>
          <w:szCs w:val="24"/>
        </w:rPr>
        <w:t xml:space="preserve">responsible for </w:t>
      </w:r>
      <w:r w:rsidR="008629D3">
        <w:rPr>
          <w:rFonts w:ascii="Arial" w:eastAsia="Arial" w:hAnsi="Arial" w:cs="Arial"/>
          <w:sz w:val="24"/>
          <w:szCs w:val="24"/>
        </w:rPr>
        <w:t>commissioning Trading Standards related work funded by a wide range of Government Departments and Agencies.</w:t>
      </w:r>
    </w:p>
    <w:p w14:paraId="66F7AFA9" w14:textId="303789A2" w:rsidR="00586207" w:rsidRPr="00CC6E43" w:rsidRDefault="00586207" w:rsidP="00CC6E43">
      <w:pPr>
        <w:spacing w:line="300" w:lineRule="auto"/>
        <w:ind w:right="148"/>
        <w:rPr>
          <w:rFonts w:ascii="Arial" w:hAnsi="Arial" w:cs="Arial"/>
          <w:sz w:val="24"/>
          <w:szCs w:val="24"/>
        </w:rPr>
      </w:pPr>
    </w:p>
    <w:p w14:paraId="471AE15A" w14:textId="77777777" w:rsidR="00586207" w:rsidRPr="00CC6E43" w:rsidRDefault="00586207" w:rsidP="00CC6E43">
      <w:pPr>
        <w:spacing w:line="300" w:lineRule="auto"/>
        <w:rPr>
          <w:rFonts w:ascii="Arial" w:hAnsi="Arial" w:cs="Arial"/>
          <w:sz w:val="24"/>
          <w:szCs w:val="24"/>
        </w:rPr>
      </w:pPr>
    </w:p>
    <w:p w14:paraId="6D44164E" w14:textId="28090071" w:rsidR="00586207" w:rsidRPr="00CC6E43" w:rsidRDefault="00DF3F8F" w:rsidP="00CC6E43">
      <w:pPr>
        <w:spacing w:line="300" w:lineRule="auto"/>
        <w:ind w:right="168"/>
        <w:rPr>
          <w:rFonts w:ascii="Arial" w:hAnsi="Arial" w:cs="Arial"/>
          <w:sz w:val="24"/>
          <w:szCs w:val="24"/>
        </w:rPr>
      </w:pPr>
      <w:r w:rsidRPr="00CC6E43">
        <w:rPr>
          <w:rFonts w:ascii="Arial" w:eastAsia="Arial" w:hAnsi="Arial" w:cs="Arial"/>
          <w:sz w:val="24"/>
          <w:szCs w:val="24"/>
        </w:rPr>
        <w:t>NTS is a member of the Consumer Protection Partnership (CPP). The Partnership comprises all the key national bodies involved in consumer protection, including the Competition and Marke</w:t>
      </w:r>
      <w:r w:rsidR="00021FC5">
        <w:rPr>
          <w:rFonts w:ascii="Arial" w:eastAsia="Arial" w:hAnsi="Arial" w:cs="Arial"/>
          <w:sz w:val="24"/>
          <w:szCs w:val="24"/>
        </w:rPr>
        <w:t>t</w:t>
      </w:r>
      <w:r w:rsidRPr="00CC6E43">
        <w:rPr>
          <w:rFonts w:ascii="Arial" w:eastAsia="Arial" w:hAnsi="Arial" w:cs="Arial"/>
          <w:sz w:val="24"/>
          <w:szCs w:val="24"/>
        </w:rPr>
        <w:t>s Authority, the Financial Conduct Authority and Citizens’ Advice. The Partnership provides a mechanism through which members work together to maximise the use of resources across the Partnership to tackle concerns</w:t>
      </w:r>
      <w:r w:rsidRPr="00CC6E43">
        <w:rPr>
          <w:rFonts w:ascii="Arial" w:eastAsia="Arial" w:hAnsi="Arial" w:cs="Arial"/>
          <w:i/>
          <w:iCs/>
          <w:sz w:val="24"/>
          <w:szCs w:val="24"/>
        </w:rPr>
        <w:t>.</w:t>
      </w:r>
    </w:p>
    <w:p w14:paraId="68189BA7" w14:textId="77777777" w:rsidR="00586207" w:rsidRDefault="00586207" w:rsidP="00CC6E43">
      <w:pPr>
        <w:spacing w:line="300" w:lineRule="auto"/>
        <w:rPr>
          <w:rFonts w:ascii="Arial" w:hAnsi="Arial" w:cs="Arial"/>
          <w:sz w:val="24"/>
          <w:szCs w:val="24"/>
        </w:rPr>
      </w:pPr>
    </w:p>
    <w:p w14:paraId="13185679" w14:textId="77777777" w:rsidR="00B84E6C" w:rsidRPr="00CC6E43" w:rsidRDefault="00B84E6C" w:rsidP="00CC6E43">
      <w:pPr>
        <w:spacing w:line="300" w:lineRule="auto"/>
        <w:rPr>
          <w:rFonts w:ascii="Arial" w:hAnsi="Arial" w:cs="Arial"/>
          <w:sz w:val="24"/>
          <w:szCs w:val="24"/>
        </w:rPr>
      </w:pPr>
    </w:p>
    <w:p w14:paraId="27BA1CA7" w14:textId="77777777" w:rsidR="00586207" w:rsidRPr="00B84E6C" w:rsidRDefault="00DF3F8F" w:rsidP="00CC6E43">
      <w:pPr>
        <w:numPr>
          <w:ilvl w:val="0"/>
          <w:numId w:val="2"/>
        </w:numPr>
        <w:tabs>
          <w:tab w:val="left" w:pos="560"/>
        </w:tabs>
        <w:spacing w:line="300" w:lineRule="auto"/>
        <w:ind w:left="560" w:hanging="559"/>
        <w:rPr>
          <w:rFonts w:ascii="Arial" w:eastAsia="Arial" w:hAnsi="Arial" w:cs="Arial"/>
          <w:b/>
          <w:bCs/>
          <w:color w:val="4F81BD" w:themeColor="accent1"/>
          <w:sz w:val="28"/>
          <w:szCs w:val="28"/>
        </w:rPr>
      </w:pPr>
      <w:r w:rsidRPr="00B84E6C">
        <w:rPr>
          <w:rFonts w:ascii="Arial" w:eastAsia="Arial" w:hAnsi="Arial" w:cs="Arial"/>
          <w:b/>
          <w:bCs/>
          <w:color w:val="4F81BD" w:themeColor="accent1"/>
          <w:sz w:val="28"/>
          <w:szCs w:val="28"/>
        </w:rPr>
        <w:t xml:space="preserve">Governance arrangements </w:t>
      </w:r>
      <w:r w:rsidR="00B84E6C">
        <w:rPr>
          <w:rFonts w:ascii="Arial" w:eastAsia="Arial" w:hAnsi="Arial" w:cs="Arial"/>
          <w:b/>
          <w:bCs/>
          <w:color w:val="4F81BD" w:themeColor="accent1"/>
          <w:sz w:val="28"/>
          <w:szCs w:val="28"/>
        </w:rPr>
        <w:t xml:space="preserve">for </w:t>
      </w:r>
      <w:r w:rsidRPr="00B84E6C">
        <w:rPr>
          <w:rFonts w:ascii="Arial" w:eastAsia="Arial" w:hAnsi="Arial" w:cs="Arial"/>
          <w:b/>
          <w:bCs/>
          <w:color w:val="4F81BD" w:themeColor="accent1"/>
          <w:sz w:val="28"/>
          <w:szCs w:val="28"/>
        </w:rPr>
        <w:t>NTS</w:t>
      </w:r>
    </w:p>
    <w:p w14:paraId="29E9EB17" w14:textId="77777777" w:rsidR="002B25FB" w:rsidRDefault="002B25FB" w:rsidP="002B25FB">
      <w:pPr>
        <w:tabs>
          <w:tab w:val="left" w:pos="560"/>
        </w:tabs>
        <w:spacing w:line="300" w:lineRule="auto"/>
        <w:ind w:left="560"/>
        <w:rPr>
          <w:rFonts w:ascii="Arial" w:eastAsia="Arial" w:hAnsi="Arial" w:cs="Arial"/>
          <w:b/>
          <w:bCs/>
          <w:color w:val="4F81BD" w:themeColor="accent1"/>
          <w:sz w:val="28"/>
          <w:szCs w:val="28"/>
        </w:rPr>
      </w:pPr>
    </w:p>
    <w:p w14:paraId="0DECA295" w14:textId="4BFD2AA9" w:rsidR="002B25FB" w:rsidRDefault="002B25FB" w:rsidP="002B25FB">
      <w:pPr>
        <w:spacing w:line="300" w:lineRule="auto"/>
        <w:rPr>
          <w:rFonts w:ascii="Arial" w:eastAsia="Arial" w:hAnsi="Arial" w:cs="Arial"/>
          <w:b/>
          <w:bCs/>
          <w:sz w:val="24"/>
          <w:szCs w:val="24"/>
        </w:rPr>
      </w:pPr>
      <w:r w:rsidRPr="00CC6E43">
        <w:rPr>
          <w:rFonts w:ascii="Arial" w:eastAsia="Arial" w:hAnsi="Arial" w:cs="Arial"/>
          <w:b/>
          <w:bCs/>
          <w:sz w:val="24"/>
          <w:szCs w:val="24"/>
        </w:rPr>
        <w:t>Political oversight</w:t>
      </w:r>
    </w:p>
    <w:p w14:paraId="4A25DDB5" w14:textId="77777777" w:rsidR="002B25FB" w:rsidRPr="00CC6E43" w:rsidRDefault="002B25FB" w:rsidP="002B25FB">
      <w:pPr>
        <w:spacing w:line="300" w:lineRule="auto"/>
        <w:rPr>
          <w:rFonts w:ascii="Arial" w:hAnsi="Arial" w:cs="Arial"/>
          <w:sz w:val="24"/>
          <w:szCs w:val="24"/>
        </w:rPr>
      </w:pPr>
    </w:p>
    <w:p w14:paraId="29B74FB5" w14:textId="5CF8F7CE" w:rsidR="00586207" w:rsidRPr="00CC6E43" w:rsidRDefault="008629D3" w:rsidP="002B25FB">
      <w:pPr>
        <w:tabs>
          <w:tab w:val="left" w:pos="0"/>
        </w:tabs>
        <w:spacing w:line="300" w:lineRule="auto"/>
        <w:rPr>
          <w:rFonts w:ascii="Arial" w:hAnsi="Arial" w:cs="Arial"/>
          <w:sz w:val="24"/>
          <w:szCs w:val="24"/>
        </w:rPr>
      </w:pPr>
      <w:r>
        <w:rPr>
          <w:rFonts w:ascii="Arial" w:eastAsia="Arial" w:hAnsi="Arial" w:cs="Arial"/>
          <w:sz w:val="24"/>
          <w:szCs w:val="24"/>
        </w:rPr>
        <w:t xml:space="preserve">Regular </w:t>
      </w:r>
      <w:r w:rsidR="002B25FB" w:rsidRPr="00CC6E43">
        <w:rPr>
          <w:rFonts w:ascii="Arial" w:eastAsia="Arial" w:hAnsi="Arial" w:cs="Arial"/>
          <w:sz w:val="24"/>
          <w:szCs w:val="24"/>
        </w:rPr>
        <w:t xml:space="preserve">meetings are held between the relevant Minister for the Department of Business, </w:t>
      </w:r>
      <w:r w:rsidR="00B84E6C">
        <w:rPr>
          <w:rFonts w:ascii="Arial" w:eastAsia="Arial" w:hAnsi="Arial" w:cs="Arial"/>
          <w:sz w:val="24"/>
          <w:szCs w:val="24"/>
        </w:rPr>
        <w:t>Energy</w:t>
      </w:r>
      <w:r w:rsidR="002B25FB">
        <w:rPr>
          <w:rFonts w:ascii="Arial" w:eastAsia="Arial" w:hAnsi="Arial" w:cs="Arial"/>
          <w:sz w:val="24"/>
          <w:szCs w:val="24"/>
        </w:rPr>
        <w:t xml:space="preserve"> and </w:t>
      </w:r>
      <w:r w:rsidR="00B84E6C">
        <w:rPr>
          <w:rFonts w:ascii="Arial" w:eastAsia="Arial" w:hAnsi="Arial" w:cs="Arial"/>
          <w:sz w:val="24"/>
          <w:szCs w:val="24"/>
        </w:rPr>
        <w:t>Industrial</w:t>
      </w:r>
      <w:r w:rsidR="002B25FB">
        <w:rPr>
          <w:rFonts w:ascii="Arial" w:eastAsia="Arial" w:hAnsi="Arial" w:cs="Arial"/>
          <w:sz w:val="24"/>
          <w:szCs w:val="24"/>
        </w:rPr>
        <w:t xml:space="preserve"> Strategy </w:t>
      </w:r>
      <w:r w:rsidR="002B25FB" w:rsidRPr="00CC6E43">
        <w:rPr>
          <w:rFonts w:ascii="Arial" w:eastAsia="Arial" w:hAnsi="Arial" w:cs="Arial"/>
          <w:sz w:val="24"/>
          <w:szCs w:val="24"/>
        </w:rPr>
        <w:t>(B</w:t>
      </w:r>
      <w:r w:rsidR="002B25FB">
        <w:rPr>
          <w:rFonts w:ascii="Arial" w:eastAsia="Arial" w:hAnsi="Arial" w:cs="Arial"/>
          <w:sz w:val="24"/>
          <w:szCs w:val="24"/>
        </w:rPr>
        <w:t>E</w:t>
      </w:r>
      <w:r w:rsidR="002B25FB" w:rsidRPr="00CC6E43">
        <w:rPr>
          <w:rFonts w:ascii="Arial" w:eastAsia="Arial" w:hAnsi="Arial" w:cs="Arial"/>
          <w:sz w:val="24"/>
          <w:szCs w:val="24"/>
        </w:rPr>
        <w:t xml:space="preserve">IS) and the Chair of NTS to discuss work relating to consumer protection and fair trading. </w:t>
      </w:r>
      <w:r>
        <w:rPr>
          <w:rFonts w:ascii="Arial" w:eastAsia="Arial" w:hAnsi="Arial" w:cs="Arial"/>
          <w:sz w:val="24"/>
          <w:szCs w:val="24"/>
        </w:rPr>
        <w:t xml:space="preserve">Other meetings are held with relevant Ministers and senior officials as appropriate. </w:t>
      </w:r>
    </w:p>
    <w:p w14:paraId="78799C41" w14:textId="77777777" w:rsidR="00586207" w:rsidRPr="00CC6E43" w:rsidRDefault="00586207" w:rsidP="00CC6E43">
      <w:pPr>
        <w:spacing w:line="300" w:lineRule="auto"/>
        <w:rPr>
          <w:rFonts w:ascii="Arial" w:hAnsi="Arial" w:cs="Arial"/>
          <w:sz w:val="24"/>
          <w:szCs w:val="24"/>
        </w:rPr>
      </w:pPr>
    </w:p>
    <w:p w14:paraId="6C6C7115" w14:textId="0A16C639" w:rsidR="002B25FB" w:rsidRPr="00CC6E43" w:rsidRDefault="002B25FB" w:rsidP="002B25FB">
      <w:pPr>
        <w:spacing w:line="300" w:lineRule="auto"/>
        <w:rPr>
          <w:rFonts w:ascii="Arial" w:hAnsi="Arial" w:cs="Arial"/>
          <w:sz w:val="24"/>
          <w:szCs w:val="24"/>
        </w:rPr>
      </w:pPr>
      <w:r w:rsidRPr="00CC6E43">
        <w:rPr>
          <w:rFonts w:ascii="Arial" w:eastAsia="Arial" w:hAnsi="Arial" w:cs="Arial"/>
          <w:b/>
          <w:bCs/>
          <w:sz w:val="24"/>
          <w:szCs w:val="24"/>
        </w:rPr>
        <w:t>Strategic oversight</w:t>
      </w:r>
    </w:p>
    <w:p w14:paraId="173B1C0E" w14:textId="77777777" w:rsidR="002B25FB" w:rsidRDefault="002B25FB" w:rsidP="002B25FB">
      <w:pPr>
        <w:spacing w:line="300" w:lineRule="auto"/>
        <w:ind w:right="168"/>
        <w:rPr>
          <w:rFonts w:ascii="Arial" w:eastAsia="Arial" w:hAnsi="Arial" w:cs="Arial"/>
          <w:sz w:val="24"/>
          <w:szCs w:val="24"/>
        </w:rPr>
      </w:pPr>
    </w:p>
    <w:p w14:paraId="51B00E71" w14:textId="77777777" w:rsidR="002B25FB" w:rsidRPr="00CC6E43" w:rsidRDefault="002B25FB" w:rsidP="002B25FB">
      <w:pPr>
        <w:spacing w:line="300" w:lineRule="auto"/>
        <w:ind w:right="168"/>
        <w:rPr>
          <w:rFonts w:ascii="Arial" w:hAnsi="Arial" w:cs="Arial"/>
          <w:sz w:val="24"/>
          <w:szCs w:val="24"/>
        </w:rPr>
      </w:pPr>
      <w:r w:rsidRPr="00CC6E43">
        <w:rPr>
          <w:rFonts w:ascii="Arial" w:eastAsia="Arial" w:hAnsi="Arial" w:cs="Arial"/>
          <w:sz w:val="24"/>
          <w:szCs w:val="24"/>
        </w:rPr>
        <w:t>The N</w:t>
      </w:r>
      <w:r w:rsidR="00B84E6C">
        <w:rPr>
          <w:rFonts w:ascii="Arial" w:eastAsia="Arial" w:hAnsi="Arial" w:cs="Arial"/>
          <w:sz w:val="24"/>
          <w:szCs w:val="24"/>
        </w:rPr>
        <w:t xml:space="preserve">TS </w:t>
      </w:r>
      <w:r w:rsidRPr="00CC6E43">
        <w:rPr>
          <w:rFonts w:ascii="Arial" w:eastAsia="Arial" w:hAnsi="Arial" w:cs="Arial"/>
          <w:sz w:val="24"/>
          <w:szCs w:val="24"/>
        </w:rPr>
        <w:t>Board provides specialist teams and helps local authority trading standards services work together to enforce consumer law against national and regional threats to fair trading and provides support for strategic decision making in other areas of work that NTS have been commissioned to have a role.</w:t>
      </w:r>
    </w:p>
    <w:p w14:paraId="6A26D838" w14:textId="77777777" w:rsidR="002B25FB" w:rsidRPr="00CC6E43" w:rsidRDefault="002B25FB" w:rsidP="002B25FB">
      <w:pPr>
        <w:spacing w:line="300" w:lineRule="auto"/>
        <w:rPr>
          <w:rFonts w:ascii="Arial" w:hAnsi="Arial" w:cs="Arial"/>
          <w:sz w:val="24"/>
          <w:szCs w:val="24"/>
        </w:rPr>
      </w:pPr>
    </w:p>
    <w:p w14:paraId="6F41CE02" w14:textId="77777777" w:rsidR="002B25FB" w:rsidRPr="00CC6E43" w:rsidRDefault="002B25FB" w:rsidP="002B25FB">
      <w:pPr>
        <w:spacing w:line="300" w:lineRule="auto"/>
        <w:ind w:right="8"/>
        <w:rPr>
          <w:rFonts w:ascii="Arial" w:hAnsi="Arial" w:cs="Arial"/>
          <w:sz w:val="24"/>
          <w:szCs w:val="24"/>
        </w:rPr>
      </w:pPr>
      <w:r w:rsidRPr="00CC6E43">
        <w:rPr>
          <w:rFonts w:ascii="Arial" w:eastAsia="Arial" w:hAnsi="Arial" w:cs="Arial"/>
          <w:sz w:val="24"/>
          <w:szCs w:val="24"/>
        </w:rPr>
        <w:t>Specifically in relation to consumer protection, the NTS Board is responsible for allocating funding received from Government to ensure that local authorities are effectively responding to national and regional threats. To enable them to carry out this role effectively, the Board also acts as the key decision making body for the development and agreement of national strategic priorities for consumer protection work, agrees the most effective delivery mechanisms and carries out performance management against the agreed activities. An annual business plan and detailed control strategy is put in place to support this role.</w:t>
      </w:r>
    </w:p>
    <w:p w14:paraId="4A89119F" w14:textId="77777777" w:rsidR="002B25FB" w:rsidRPr="00CC6E43" w:rsidRDefault="002B25FB" w:rsidP="002B25FB">
      <w:pPr>
        <w:spacing w:line="300" w:lineRule="auto"/>
        <w:rPr>
          <w:rFonts w:ascii="Arial" w:hAnsi="Arial" w:cs="Arial"/>
          <w:sz w:val="24"/>
          <w:szCs w:val="24"/>
        </w:rPr>
      </w:pPr>
    </w:p>
    <w:p w14:paraId="0775D403" w14:textId="77777777" w:rsidR="002B25FB" w:rsidRDefault="002B25FB" w:rsidP="002B25FB">
      <w:pPr>
        <w:spacing w:line="300" w:lineRule="auto"/>
        <w:ind w:right="8"/>
        <w:rPr>
          <w:rFonts w:ascii="Arial" w:eastAsia="Arial" w:hAnsi="Arial" w:cs="Arial"/>
          <w:sz w:val="24"/>
          <w:szCs w:val="24"/>
        </w:rPr>
      </w:pPr>
      <w:r w:rsidRPr="00CC6E43">
        <w:rPr>
          <w:rFonts w:ascii="Arial" w:eastAsia="Arial" w:hAnsi="Arial" w:cs="Arial"/>
          <w:sz w:val="24"/>
          <w:szCs w:val="24"/>
        </w:rPr>
        <w:t>The Board meets on a quarterly basis and contains Heads of Trading Standards representation from each English region and Wales. It operates to the Terms of Reference attached.</w:t>
      </w:r>
    </w:p>
    <w:p w14:paraId="4E5322FF" w14:textId="77777777" w:rsidR="006D76FA" w:rsidRPr="00CC6E43" w:rsidRDefault="006D76FA" w:rsidP="002B25FB">
      <w:pPr>
        <w:spacing w:line="300" w:lineRule="auto"/>
        <w:ind w:right="8"/>
        <w:rPr>
          <w:rFonts w:ascii="Arial" w:hAnsi="Arial" w:cs="Arial"/>
          <w:sz w:val="24"/>
          <w:szCs w:val="24"/>
        </w:rPr>
      </w:pPr>
    </w:p>
    <w:bookmarkStart w:id="2" w:name="_MON_1615204656"/>
    <w:bookmarkEnd w:id="2"/>
    <w:p w14:paraId="66727B68" w14:textId="77777777" w:rsidR="00586207" w:rsidRDefault="008A5750" w:rsidP="00CC6E43">
      <w:pPr>
        <w:spacing w:line="300" w:lineRule="auto"/>
        <w:rPr>
          <w:rFonts w:ascii="Arial" w:hAnsi="Arial" w:cs="Arial"/>
          <w:sz w:val="24"/>
          <w:szCs w:val="24"/>
        </w:rPr>
      </w:pPr>
      <w:r>
        <w:rPr>
          <w:rFonts w:ascii="Arial" w:hAnsi="Arial" w:cs="Arial"/>
          <w:sz w:val="24"/>
          <w:szCs w:val="24"/>
        </w:rPr>
        <w:object w:dxaOrig="1487" w:dyaOrig="992" w14:anchorId="4CF54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49.75pt" o:ole="">
            <v:imagedata r:id="rId12" o:title=""/>
          </v:shape>
          <o:OLEObject Type="Embed" ProgID="Word.Document.12" ShapeID="_x0000_i1025" DrawAspect="Icon" ObjectID="_1650104293" r:id="rId13">
            <o:FieldCodes>\s</o:FieldCodes>
          </o:OLEObject>
        </w:object>
      </w:r>
    </w:p>
    <w:p w14:paraId="50F53EC4" w14:textId="77777777" w:rsidR="002B25FB" w:rsidRDefault="002B25FB" w:rsidP="00CC6E43">
      <w:pPr>
        <w:spacing w:line="300" w:lineRule="auto"/>
        <w:rPr>
          <w:rFonts w:ascii="Arial" w:hAnsi="Arial" w:cs="Arial"/>
          <w:sz w:val="24"/>
          <w:szCs w:val="24"/>
        </w:rPr>
      </w:pPr>
    </w:p>
    <w:p w14:paraId="6B75B3F3" w14:textId="77777777" w:rsidR="002B25FB" w:rsidRPr="00CC6E43" w:rsidRDefault="002B25FB" w:rsidP="002B25FB">
      <w:pPr>
        <w:spacing w:line="300" w:lineRule="auto"/>
        <w:ind w:right="528"/>
        <w:rPr>
          <w:rFonts w:ascii="Arial" w:hAnsi="Arial" w:cs="Arial"/>
          <w:sz w:val="24"/>
          <w:szCs w:val="24"/>
        </w:rPr>
      </w:pPr>
      <w:r w:rsidRPr="00CC6E43">
        <w:rPr>
          <w:rFonts w:ascii="Arial" w:eastAsia="Arial" w:hAnsi="Arial" w:cs="Arial"/>
          <w:sz w:val="24"/>
          <w:szCs w:val="24"/>
        </w:rPr>
        <w:t>The Board is also responsible for nominating membership and overseeing the activities of specific governance groups.</w:t>
      </w:r>
    </w:p>
    <w:p w14:paraId="1D856DD0" w14:textId="77777777" w:rsidR="002B25FB" w:rsidRPr="00CC6E43" w:rsidRDefault="002B25FB" w:rsidP="002B25FB">
      <w:pPr>
        <w:spacing w:line="300" w:lineRule="auto"/>
        <w:rPr>
          <w:rFonts w:ascii="Arial" w:hAnsi="Arial" w:cs="Arial"/>
          <w:sz w:val="24"/>
          <w:szCs w:val="24"/>
        </w:rPr>
      </w:pPr>
    </w:p>
    <w:p w14:paraId="22D273D8" w14:textId="77777777" w:rsidR="002B25FB" w:rsidRPr="00CC6E43" w:rsidRDefault="002B25FB" w:rsidP="002B25FB">
      <w:pPr>
        <w:spacing w:line="300" w:lineRule="auto"/>
        <w:rPr>
          <w:rFonts w:ascii="Arial" w:eastAsia="Arial" w:hAnsi="Arial" w:cs="Arial"/>
          <w:sz w:val="24"/>
          <w:szCs w:val="24"/>
        </w:rPr>
      </w:pPr>
      <w:r w:rsidRPr="00CC6E43">
        <w:rPr>
          <w:rFonts w:ascii="Arial" w:eastAsia="Arial" w:hAnsi="Arial" w:cs="Arial"/>
          <w:sz w:val="24"/>
          <w:szCs w:val="24"/>
        </w:rPr>
        <w:t xml:space="preserve">Up to date details of members and the current business plan are available on the </w:t>
      </w:r>
      <w:hyperlink r:id="rId14">
        <w:r w:rsidRPr="00CC6E43">
          <w:rPr>
            <w:rFonts w:ascii="Arial" w:eastAsia="Arial" w:hAnsi="Arial" w:cs="Arial"/>
            <w:color w:val="0000FF"/>
            <w:sz w:val="24"/>
            <w:szCs w:val="24"/>
            <w:u w:val="single"/>
          </w:rPr>
          <w:t>NTS website.</w:t>
        </w:r>
      </w:hyperlink>
    </w:p>
    <w:p w14:paraId="5967A869" w14:textId="77777777" w:rsidR="00F33ACB" w:rsidRDefault="00F33ACB" w:rsidP="00CC6E43">
      <w:pPr>
        <w:spacing w:line="300" w:lineRule="auto"/>
        <w:rPr>
          <w:rFonts w:ascii="Arial" w:hAnsi="Arial" w:cs="Arial"/>
          <w:sz w:val="24"/>
          <w:szCs w:val="24"/>
        </w:rPr>
      </w:pPr>
    </w:p>
    <w:p w14:paraId="31C304D9" w14:textId="77777777" w:rsidR="002B25FB" w:rsidRDefault="002B25FB" w:rsidP="00CC6E43">
      <w:pPr>
        <w:spacing w:line="300" w:lineRule="auto"/>
        <w:rPr>
          <w:rFonts w:ascii="Arial" w:hAnsi="Arial" w:cs="Arial"/>
          <w:sz w:val="24"/>
          <w:szCs w:val="24"/>
        </w:rPr>
      </w:pPr>
    </w:p>
    <w:p w14:paraId="219DD885" w14:textId="77777777" w:rsidR="002B25FB" w:rsidRPr="00CC6E43" w:rsidRDefault="002B25FB" w:rsidP="002B25FB">
      <w:pPr>
        <w:spacing w:line="300" w:lineRule="auto"/>
        <w:rPr>
          <w:rFonts w:ascii="Arial" w:hAnsi="Arial" w:cs="Arial"/>
          <w:sz w:val="24"/>
          <w:szCs w:val="24"/>
        </w:rPr>
      </w:pPr>
      <w:r w:rsidRPr="00CC6E43">
        <w:rPr>
          <w:rFonts w:ascii="Arial" w:eastAsia="Arial" w:hAnsi="Arial" w:cs="Arial"/>
          <w:b/>
          <w:bCs/>
          <w:sz w:val="24"/>
          <w:szCs w:val="24"/>
        </w:rPr>
        <w:t>Delivery oversight</w:t>
      </w:r>
    </w:p>
    <w:p w14:paraId="3F881812" w14:textId="77777777" w:rsidR="002B25FB" w:rsidRPr="00CC6E43" w:rsidRDefault="002B25FB" w:rsidP="002B25FB">
      <w:pPr>
        <w:spacing w:line="300" w:lineRule="auto"/>
        <w:rPr>
          <w:rFonts w:ascii="Arial" w:hAnsi="Arial" w:cs="Arial"/>
          <w:sz w:val="24"/>
          <w:szCs w:val="24"/>
        </w:rPr>
      </w:pPr>
    </w:p>
    <w:p w14:paraId="63103564" w14:textId="77777777" w:rsidR="002B25FB" w:rsidRPr="00CC6E43" w:rsidRDefault="002B25FB" w:rsidP="002B25FB">
      <w:pPr>
        <w:spacing w:line="300" w:lineRule="auto"/>
        <w:ind w:right="728"/>
        <w:rPr>
          <w:rFonts w:ascii="Arial" w:hAnsi="Arial" w:cs="Arial"/>
          <w:sz w:val="24"/>
          <w:szCs w:val="24"/>
        </w:rPr>
      </w:pPr>
      <w:r w:rsidRPr="00CC6E43">
        <w:rPr>
          <w:rFonts w:ascii="Arial" w:eastAsia="Arial" w:hAnsi="Arial" w:cs="Arial"/>
          <w:sz w:val="24"/>
          <w:szCs w:val="24"/>
        </w:rPr>
        <w:t>A number of governance groups operate to make decisions about specific areas of delivery and funding, which are –</w:t>
      </w:r>
    </w:p>
    <w:p w14:paraId="7FDD28C6" w14:textId="56479445" w:rsidR="002B25FB" w:rsidRPr="00CC6E43" w:rsidRDefault="002B25FB" w:rsidP="002B25FB">
      <w:pPr>
        <w:numPr>
          <w:ilvl w:val="0"/>
          <w:numId w:val="4"/>
        </w:numPr>
        <w:tabs>
          <w:tab w:val="left" w:pos="720"/>
        </w:tabs>
        <w:spacing w:line="300" w:lineRule="auto"/>
        <w:ind w:left="720" w:hanging="359"/>
        <w:rPr>
          <w:rFonts w:ascii="Arial" w:eastAsia="Symbol" w:hAnsi="Arial" w:cs="Arial"/>
          <w:sz w:val="24"/>
          <w:szCs w:val="24"/>
        </w:rPr>
      </w:pPr>
      <w:r>
        <w:rPr>
          <w:rFonts w:ascii="Arial" w:eastAsia="Arial" w:hAnsi="Arial" w:cs="Arial"/>
          <w:sz w:val="24"/>
          <w:szCs w:val="24"/>
        </w:rPr>
        <w:t>Estate</w:t>
      </w:r>
      <w:r w:rsidR="00C74C4C">
        <w:rPr>
          <w:rFonts w:ascii="Arial" w:eastAsia="Arial" w:hAnsi="Arial" w:cs="Arial"/>
          <w:sz w:val="24"/>
          <w:szCs w:val="24"/>
        </w:rPr>
        <w:t xml:space="preserve"> and Lettings</w:t>
      </w:r>
      <w:r>
        <w:rPr>
          <w:rFonts w:ascii="Arial" w:eastAsia="Arial" w:hAnsi="Arial" w:cs="Arial"/>
          <w:sz w:val="24"/>
          <w:szCs w:val="24"/>
        </w:rPr>
        <w:t xml:space="preserve"> Agen</w:t>
      </w:r>
      <w:r w:rsidR="00C74C4C">
        <w:rPr>
          <w:rFonts w:ascii="Arial" w:eastAsia="Arial" w:hAnsi="Arial" w:cs="Arial"/>
          <w:sz w:val="24"/>
          <w:szCs w:val="24"/>
        </w:rPr>
        <w:t xml:space="preserve">cy </w:t>
      </w:r>
      <w:r>
        <w:rPr>
          <w:rFonts w:ascii="Arial" w:eastAsia="Arial" w:hAnsi="Arial" w:cs="Arial"/>
          <w:sz w:val="24"/>
          <w:szCs w:val="24"/>
        </w:rPr>
        <w:t xml:space="preserve"> </w:t>
      </w:r>
      <w:r w:rsidRPr="00CC6E43">
        <w:rPr>
          <w:rFonts w:ascii="Arial" w:eastAsia="Arial" w:hAnsi="Arial" w:cs="Arial"/>
          <w:sz w:val="24"/>
          <w:szCs w:val="24"/>
        </w:rPr>
        <w:t>Governance Group</w:t>
      </w:r>
    </w:p>
    <w:p w14:paraId="4F3EB104" w14:textId="650E0724" w:rsidR="002B25FB" w:rsidRPr="00C74C4C" w:rsidRDefault="002B25FB" w:rsidP="00C74C4C">
      <w:pPr>
        <w:numPr>
          <w:ilvl w:val="0"/>
          <w:numId w:val="4"/>
        </w:numPr>
        <w:tabs>
          <w:tab w:val="left" w:pos="720"/>
        </w:tabs>
        <w:spacing w:line="300" w:lineRule="auto"/>
        <w:ind w:left="720" w:hanging="359"/>
        <w:rPr>
          <w:rFonts w:ascii="Arial" w:eastAsia="Symbol" w:hAnsi="Arial" w:cs="Arial"/>
          <w:sz w:val="24"/>
          <w:szCs w:val="24"/>
        </w:rPr>
      </w:pPr>
      <w:r w:rsidRPr="00CC6E43">
        <w:rPr>
          <w:rFonts w:ascii="Arial" w:eastAsia="Arial" w:hAnsi="Arial" w:cs="Arial"/>
          <w:sz w:val="24"/>
          <w:szCs w:val="24"/>
        </w:rPr>
        <w:t>Intelligence Governance Group</w:t>
      </w:r>
    </w:p>
    <w:p w14:paraId="3319C6F6" w14:textId="77777777" w:rsidR="002B25FB" w:rsidRPr="00CC6E43" w:rsidRDefault="002B25FB" w:rsidP="002B25FB">
      <w:pPr>
        <w:numPr>
          <w:ilvl w:val="0"/>
          <w:numId w:val="4"/>
        </w:numPr>
        <w:tabs>
          <w:tab w:val="left" w:pos="720"/>
        </w:tabs>
        <w:spacing w:line="300" w:lineRule="auto"/>
        <w:ind w:left="720" w:hanging="359"/>
        <w:rPr>
          <w:rFonts w:ascii="Arial" w:eastAsia="Symbol" w:hAnsi="Arial" w:cs="Arial"/>
          <w:sz w:val="24"/>
          <w:szCs w:val="24"/>
        </w:rPr>
      </w:pPr>
      <w:r>
        <w:rPr>
          <w:rFonts w:ascii="Arial" w:eastAsia="Arial" w:hAnsi="Arial" w:cs="Arial"/>
          <w:sz w:val="24"/>
          <w:szCs w:val="24"/>
        </w:rPr>
        <w:t>E Crime and Investigations</w:t>
      </w:r>
      <w:r w:rsidRPr="00CC6E43">
        <w:rPr>
          <w:rFonts w:ascii="Arial" w:eastAsia="Arial" w:hAnsi="Arial" w:cs="Arial"/>
          <w:sz w:val="24"/>
          <w:szCs w:val="24"/>
        </w:rPr>
        <w:t xml:space="preserve"> Governance Group</w:t>
      </w:r>
    </w:p>
    <w:p w14:paraId="7EF2A368" w14:textId="77777777" w:rsidR="002B25FB" w:rsidRPr="00F33ACB" w:rsidRDefault="002B25FB" w:rsidP="002B25FB">
      <w:pPr>
        <w:numPr>
          <w:ilvl w:val="0"/>
          <w:numId w:val="4"/>
        </w:numPr>
        <w:tabs>
          <w:tab w:val="left" w:pos="720"/>
        </w:tabs>
        <w:spacing w:line="300" w:lineRule="auto"/>
        <w:ind w:left="720" w:hanging="359"/>
        <w:rPr>
          <w:rFonts w:ascii="Arial" w:eastAsia="Symbol" w:hAnsi="Arial" w:cs="Arial"/>
          <w:sz w:val="24"/>
          <w:szCs w:val="24"/>
        </w:rPr>
      </w:pPr>
      <w:r>
        <w:rPr>
          <w:rFonts w:ascii="Arial" w:eastAsia="Arial" w:hAnsi="Arial" w:cs="Arial"/>
          <w:sz w:val="24"/>
          <w:szCs w:val="24"/>
        </w:rPr>
        <w:t xml:space="preserve">Scams </w:t>
      </w:r>
      <w:r w:rsidRPr="00CC6E43">
        <w:rPr>
          <w:rFonts w:ascii="Arial" w:eastAsia="Arial" w:hAnsi="Arial" w:cs="Arial"/>
          <w:sz w:val="24"/>
          <w:szCs w:val="24"/>
        </w:rPr>
        <w:t>Governance Group</w:t>
      </w:r>
    </w:p>
    <w:p w14:paraId="3D73B708" w14:textId="77777777" w:rsidR="00C74C4C" w:rsidRPr="00F33ACB" w:rsidRDefault="00C74C4C" w:rsidP="002B25FB">
      <w:pPr>
        <w:numPr>
          <w:ilvl w:val="0"/>
          <w:numId w:val="4"/>
        </w:numPr>
        <w:tabs>
          <w:tab w:val="left" w:pos="720"/>
        </w:tabs>
        <w:spacing w:line="300" w:lineRule="auto"/>
        <w:ind w:left="720" w:hanging="359"/>
        <w:rPr>
          <w:rFonts w:ascii="Arial" w:eastAsia="Symbol" w:hAnsi="Arial" w:cs="Arial"/>
          <w:sz w:val="24"/>
          <w:szCs w:val="24"/>
        </w:rPr>
      </w:pPr>
      <w:r>
        <w:rPr>
          <w:rFonts w:ascii="Arial" w:eastAsia="Arial" w:hAnsi="Arial" w:cs="Arial"/>
          <w:sz w:val="24"/>
          <w:szCs w:val="24"/>
        </w:rPr>
        <w:t>National Tasking Governance Group</w:t>
      </w:r>
    </w:p>
    <w:p w14:paraId="39891883" w14:textId="77777777" w:rsidR="002B25FB" w:rsidRPr="00CC6E43" w:rsidRDefault="002B25FB" w:rsidP="002B25FB">
      <w:pPr>
        <w:spacing w:line="300" w:lineRule="auto"/>
        <w:rPr>
          <w:rFonts w:ascii="Arial" w:hAnsi="Arial" w:cs="Arial"/>
          <w:sz w:val="24"/>
          <w:szCs w:val="24"/>
        </w:rPr>
      </w:pPr>
    </w:p>
    <w:p w14:paraId="5B7E24E4" w14:textId="77777777" w:rsidR="002B25FB" w:rsidRPr="00CC6E43" w:rsidRDefault="002B25FB" w:rsidP="002B25FB">
      <w:pPr>
        <w:spacing w:line="300" w:lineRule="auto"/>
        <w:ind w:right="8"/>
        <w:rPr>
          <w:rFonts w:ascii="Arial" w:hAnsi="Arial" w:cs="Arial"/>
          <w:sz w:val="24"/>
          <w:szCs w:val="24"/>
        </w:rPr>
      </w:pPr>
      <w:r w:rsidRPr="00CC6E43">
        <w:rPr>
          <w:rFonts w:ascii="Arial" w:eastAsia="Arial" w:hAnsi="Arial" w:cs="Arial"/>
          <w:sz w:val="24"/>
          <w:szCs w:val="24"/>
        </w:rPr>
        <w:t>Each of these groups is responsible for setting the priorities and principles against which delivery is carried out, and allocating grants for their workstreams. They are also responsible for overseeing financial and performance monitoring, maintaining awareness of capacity and competency, ensuring best value for money and promoting effective communications to secure successful delivery.</w:t>
      </w:r>
    </w:p>
    <w:p w14:paraId="115A2DBA" w14:textId="77777777" w:rsidR="002B25FB" w:rsidRPr="00CC6E43" w:rsidRDefault="002B25FB" w:rsidP="002B25FB">
      <w:pPr>
        <w:spacing w:line="300" w:lineRule="auto"/>
        <w:rPr>
          <w:rFonts w:ascii="Arial" w:hAnsi="Arial" w:cs="Arial"/>
          <w:sz w:val="24"/>
          <w:szCs w:val="24"/>
        </w:rPr>
      </w:pPr>
    </w:p>
    <w:p w14:paraId="4B98E574" w14:textId="77777777" w:rsidR="002B25FB" w:rsidRPr="00CC6E43" w:rsidRDefault="002B25FB" w:rsidP="002B25FB">
      <w:pPr>
        <w:spacing w:line="300" w:lineRule="auto"/>
        <w:ind w:right="448"/>
        <w:rPr>
          <w:rFonts w:ascii="Arial" w:hAnsi="Arial" w:cs="Arial"/>
          <w:sz w:val="24"/>
          <w:szCs w:val="24"/>
        </w:rPr>
      </w:pPr>
      <w:r w:rsidRPr="00CC6E43">
        <w:rPr>
          <w:rFonts w:ascii="Arial" w:eastAsia="Arial" w:hAnsi="Arial" w:cs="Arial"/>
          <w:sz w:val="24"/>
          <w:szCs w:val="24"/>
        </w:rPr>
        <w:t>Each governance group provide</w:t>
      </w:r>
      <w:r>
        <w:rPr>
          <w:rFonts w:ascii="Arial" w:eastAsia="Arial" w:hAnsi="Arial" w:cs="Arial"/>
          <w:sz w:val="24"/>
          <w:szCs w:val="24"/>
        </w:rPr>
        <w:t>s</w:t>
      </w:r>
      <w:r w:rsidRPr="00CC6E43">
        <w:rPr>
          <w:rFonts w:ascii="Arial" w:eastAsia="Arial" w:hAnsi="Arial" w:cs="Arial"/>
          <w:sz w:val="24"/>
          <w:szCs w:val="24"/>
        </w:rPr>
        <w:t xml:space="preserve"> regular updates to the Board and can put forward matters to the full Board where strategic input is required.</w:t>
      </w:r>
    </w:p>
    <w:p w14:paraId="43A76569" w14:textId="77777777" w:rsidR="002B25FB" w:rsidRPr="00CC6E43" w:rsidRDefault="002B25FB" w:rsidP="002B25FB">
      <w:pPr>
        <w:spacing w:line="300" w:lineRule="auto"/>
        <w:rPr>
          <w:rFonts w:ascii="Arial" w:hAnsi="Arial" w:cs="Arial"/>
          <w:sz w:val="24"/>
          <w:szCs w:val="24"/>
        </w:rPr>
      </w:pPr>
    </w:p>
    <w:p w14:paraId="07EA57EC" w14:textId="77777777" w:rsidR="002B25FB" w:rsidRPr="00CC6E43" w:rsidRDefault="002B25FB" w:rsidP="002B25FB">
      <w:pPr>
        <w:spacing w:line="300" w:lineRule="auto"/>
        <w:ind w:right="108"/>
        <w:rPr>
          <w:rFonts w:ascii="Arial" w:hAnsi="Arial" w:cs="Arial"/>
          <w:sz w:val="24"/>
          <w:szCs w:val="24"/>
        </w:rPr>
      </w:pPr>
      <w:r w:rsidRPr="00CC6E43">
        <w:rPr>
          <w:rFonts w:ascii="Arial" w:eastAsia="Arial" w:hAnsi="Arial" w:cs="Arial"/>
          <w:sz w:val="24"/>
          <w:szCs w:val="24"/>
        </w:rPr>
        <w:t xml:space="preserve">Each of these groups contains </w:t>
      </w:r>
      <w:r>
        <w:rPr>
          <w:rFonts w:ascii="Arial" w:eastAsia="Arial" w:hAnsi="Arial" w:cs="Arial"/>
          <w:sz w:val="24"/>
          <w:szCs w:val="24"/>
        </w:rPr>
        <w:t>at least two</w:t>
      </w:r>
      <w:r w:rsidRPr="00CC6E43">
        <w:rPr>
          <w:rFonts w:ascii="Arial" w:eastAsia="Arial" w:hAnsi="Arial" w:cs="Arial"/>
          <w:sz w:val="24"/>
          <w:szCs w:val="24"/>
        </w:rPr>
        <w:t xml:space="preserve"> NTS Board </w:t>
      </w:r>
      <w:r>
        <w:rPr>
          <w:rFonts w:ascii="Arial" w:eastAsia="Arial" w:hAnsi="Arial" w:cs="Arial"/>
          <w:sz w:val="24"/>
          <w:szCs w:val="24"/>
        </w:rPr>
        <w:t>nominees</w:t>
      </w:r>
      <w:r w:rsidRPr="00CC6E43">
        <w:rPr>
          <w:rFonts w:ascii="Arial" w:eastAsia="Arial" w:hAnsi="Arial" w:cs="Arial"/>
          <w:sz w:val="24"/>
          <w:szCs w:val="24"/>
        </w:rPr>
        <w:t xml:space="preserve"> and representatives from the relevant government departments or agencies where appropriate. Full terms of reference are available for each governance group upon request.</w:t>
      </w:r>
    </w:p>
    <w:p w14:paraId="2EC5129C" w14:textId="77777777" w:rsidR="00F33ACB" w:rsidRDefault="00F33ACB" w:rsidP="00CC6E43">
      <w:pPr>
        <w:spacing w:line="300" w:lineRule="auto"/>
        <w:rPr>
          <w:rFonts w:ascii="Arial" w:hAnsi="Arial" w:cs="Arial"/>
          <w:sz w:val="24"/>
          <w:szCs w:val="24"/>
        </w:rPr>
      </w:pPr>
    </w:p>
    <w:p w14:paraId="40484C59" w14:textId="77777777" w:rsidR="00B84E6C" w:rsidRDefault="00B84E6C" w:rsidP="00CC6E43">
      <w:pPr>
        <w:spacing w:line="300" w:lineRule="auto"/>
        <w:rPr>
          <w:rFonts w:ascii="Arial" w:hAnsi="Arial" w:cs="Arial"/>
          <w:sz w:val="24"/>
          <w:szCs w:val="24"/>
        </w:rPr>
      </w:pPr>
    </w:p>
    <w:p w14:paraId="30A5C7D4" w14:textId="77777777" w:rsidR="00AC189A" w:rsidRPr="00CC6E43" w:rsidRDefault="00AC189A" w:rsidP="00AC189A">
      <w:pPr>
        <w:spacing w:line="300" w:lineRule="auto"/>
        <w:rPr>
          <w:rFonts w:ascii="Arial" w:hAnsi="Arial" w:cs="Arial"/>
          <w:sz w:val="24"/>
          <w:szCs w:val="24"/>
        </w:rPr>
      </w:pPr>
      <w:r w:rsidRPr="00CC6E43">
        <w:rPr>
          <w:rFonts w:ascii="Arial" w:eastAsia="Arial" w:hAnsi="Arial" w:cs="Arial"/>
          <w:b/>
          <w:bCs/>
          <w:sz w:val="24"/>
          <w:szCs w:val="24"/>
        </w:rPr>
        <w:t>Technical support</w:t>
      </w:r>
    </w:p>
    <w:p w14:paraId="62EFCD28" w14:textId="77777777" w:rsidR="00AC189A" w:rsidRDefault="00AC189A" w:rsidP="00CC6E43">
      <w:pPr>
        <w:spacing w:line="300" w:lineRule="auto"/>
        <w:rPr>
          <w:rFonts w:ascii="Arial" w:hAnsi="Arial" w:cs="Arial"/>
          <w:sz w:val="24"/>
          <w:szCs w:val="24"/>
        </w:rPr>
      </w:pPr>
    </w:p>
    <w:p w14:paraId="249E59C4" w14:textId="77777777" w:rsidR="00AC189A" w:rsidRDefault="00AC189A" w:rsidP="00AC189A">
      <w:pPr>
        <w:spacing w:line="300" w:lineRule="auto"/>
        <w:ind w:right="128"/>
        <w:rPr>
          <w:rFonts w:ascii="Arial" w:eastAsia="Arial" w:hAnsi="Arial" w:cs="Arial"/>
          <w:sz w:val="24"/>
          <w:szCs w:val="24"/>
        </w:rPr>
      </w:pPr>
      <w:r>
        <w:rPr>
          <w:rFonts w:ascii="Arial" w:eastAsia="Arial" w:hAnsi="Arial" w:cs="Arial"/>
          <w:sz w:val="24"/>
          <w:szCs w:val="24"/>
        </w:rPr>
        <w:t xml:space="preserve">The </w:t>
      </w:r>
      <w:r w:rsidRPr="00CC6E43">
        <w:rPr>
          <w:rFonts w:ascii="Arial" w:eastAsia="Arial" w:hAnsi="Arial" w:cs="Arial"/>
          <w:sz w:val="24"/>
          <w:szCs w:val="24"/>
        </w:rPr>
        <w:t>NTS</w:t>
      </w:r>
      <w:r>
        <w:rPr>
          <w:rFonts w:ascii="Arial" w:eastAsia="Arial" w:hAnsi="Arial" w:cs="Arial"/>
          <w:sz w:val="24"/>
          <w:szCs w:val="24"/>
        </w:rPr>
        <w:t xml:space="preserve"> Programme O</w:t>
      </w:r>
      <w:r w:rsidRPr="00CC6E43">
        <w:rPr>
          <w:rFonts w:ascii="Arial" w:eastAsia="Arial" w:hAnsi="Arial" w:cs="Arial"/>
          <w:sz w:val="24"/>
          <w:szCs w:val="24"/>
        </w:rPr>
        <w:t>ffice also receives funds from some central government departments and agencies to operate specified national groups that provide technical support to local authorities on specific policy areas. Each of these groups contains representation from the relevant government body, each local authority region in England and relevant Devolved Administrations, alongside delivery partners where appropriate. Guidance produced by the groups is specifically for local authorities and is approved by the Association of Chief Trading Standards Officers (ACTSO).</w:t>
      </w:r>
    </w:p>
    <w:p w14:paraId="69E66CB2" w14:textId="77777777" w:rsidR="00AC189A" w:rsidRDefault="00AC189A" w:rsidP="00AC189A">
      <w:pPr>
        <w:spacing w:line="300" w:lineRule="auto"/>
        <w:ind w:right="128"/>
        <w:rPr>
          <w:rFonts w:ascii="Arial" w:hAnsi="Arial" w:cs="Arial"/>
          <w:sz w:val="24"/>
          <w:szCs w:val="24"/>
        </w:rPr>
      </w:pPr>
    </w:p>
    <w:p w14:paraId="47E4E738" w14:textId="77777777" w:rsidR="00B84E6C" w:rsidRPr="00CC6E43" w:rsidRDefault="00B84E6C" w:rsidP="00AC189A">
      <w:pPr>
        <w:spacing w:line="300" w:lineRule="auto"/>
        <w:ind w:right="128"/>
        <w:rPr>
          <w:rFonts w:ascii="Arial" w:hAnsi="Arial" w:cs="Arial"/>
          <w:sz w:val="24"/>
          <w:szCs w:val="24"/>
        </w:rPr>
      </w:pPr>
    </w:p>
    <w:p w14:paraId="3387212B" w14:textId="77777777" w:rsidR="00586207" w:rsidRPr="00B84E6C" w:rsidRDefault="00DF3F8F" w:rsidP="00CC6E43">
      <w:pPr>
        <w:numPr>
          <w:ilvl w:val="0"/>
          <w:numId w:val="5"/>
        </w:numPr>
        <w:tabs>
          <w:tab w:val="left" w:pos="560"/>
        </w:tabs>
        <w:spacing w:line="300" w:lineRule="auto"/>
        <w:ind w:left="560" w:hanging="559"/>
        <w:rPr>
          <w:rFonts w:ascii="Arial" w:eastAsia="Arial" w:hAnsi="Arial" w:cs="Arial"/>
          <w:b/>
          <w:bCs/>
          <w:color w:val="4F81BD" w:themeColor="accent1"/>
          <w:sz w:val="28"/>
          <w:szCs w:val="28"/>
        </w:rPr>
      </w:pPr>
      <w:r w:rsidRPr="00B84E6C">
        <w:rPr>
          <w:rFonts w:ascii="Arial" w:eastAsia="Arial" w:hAnsi="Arial" w:cs="Arial"/>
          <w:b/>
          <w:bCs/>
          <w:color w:val="4F81BD" w:themeColor="accent1"/>
          <w:sz w:val="28"/>
          <w:szCs w:val="28"/>
        </w:rPr>
        <w:t>Accountability</w:t>
      </w:r>
    </w:p>
    <w:p w14:paraId="62102F95" w14:textId="77777777" w:rsidR="00586207" w:rsidRPr="00CC6E43" w:rsidRDefault="00586207" w:rsidP="00CC6E43">
      <w:pPr>
        <w:spacing w:line="300" w:lineRule="auto"/>
        <w:rPr>
          <w:rFonts w:ascii="Arial" w:hAnsi="Arial" w:cs="Arial"/>
          <w:sz w:val="24"/>
          <w:szCs w:val="24"/>
        </w:rPr>
      </w:pPr>
    </w:p>
    <w:p w14:paraId="21FE537A" w14:textId="77777777" w:rsidR="00586207" w:rsidRPr="00CC6E43" w:rsidRDefault="00DF3F8F" w:rsidP="00CC6E43">
      <w:pPr>
        <w:tabs>
          <w:tab w:val="left" w:pos="700"/>
        </w:tabs>
        <w:spacing w:line="300" w:lineRule="auto"/>
        <w:rPr>
          <w:rFonts w:ascii="Arial" w:hAnsi="Arial" w:cs="Arial"/>
          <w:sz w:val="24"/>
          <w:szCs w:val="24"/>
        </w:rPr>
      </w:pPr>
      <w:r w:rsidRPr="00CC6E43">
        <w:rPr>
          <w:rFonts w:ascii="Arial" w:eastAsia="Arial" w:hAnsi="Arial" w:cs="Arial"/>
          <w:b/>
          <w:bCs/>
          <w:sz w:val="24"/>
          <w:szCs w:val="24"/>
        </w:rPr>
        <w:t>3.1</w:t>
      </w:r>
      <w:r w:rsidRPr="00CC6E43">
        <w:rPr>
          <w:rFonts w:ascii="Arial" w:hAnsi="Arial" w:cs="Arial"/>
          <w:sz w:val="24"/>
          <w:szCs w:val="24"/>
        </w:rPr>
        <w:tab/>
      </w:r>
      <w:r w:rsidRPr="00CC6E43">
        <w:rPr>
          <w:rFonts w:ascii="Arial" w:eastAsia="Arial" w:hAnsi="Arial" w:cs="Arial"/>
          <w:b/>
          <w:bCs/>
          <w:sz w:val="24"/>
          <w:szCs w:val="24"/>
        </w:rPr>
        <w:t>NTS decision making</w:t>
      </w:r>
    </w:p>
    <w:p w14:paraId="34D53BD3" w14:textId="77777777" w:rsidR="00586207" w:rsidRPr="00CC6E43" w:rsidRDefault="00586207" w:rsidP="00CC6E43">
      <w:pPr>
        <w:spacing w:line="300" w:lineRule="auto"/>
        <w:rPr>
          <w:rFonts w:ascii="Arial" w:hAnsi="Arial" w:cs="Arial"/>
          <w:sz w:val="24"/>
          <w:szCs w:val="24"/>
        </w:rPr>
      </w:pPr>
    </w:p>
    <w:p w14:paraId="7364D295" w14:textId="77777777" w:rsidR="00586207" w:rsidRPr="00CC6E43" w:rsidRDefault="00DF3F8F" w:rsidP="00CC6E43">
      <w:pPr>
        <w:spacing w:line="300" w:lineRule="auto"/>
        <w:ind w:right="28"/>
        <w:rPr>
          <w:rFonts w:ascii="Arial" w:hAnsi="Arial" w:cs="Arial"/>
          <w:sz w:val="24"/>
          <w:szCs w:val="24"/>
        </w:rPr>
      </w:pPr>
      <w:r w:rsidRPr="00CC6E43">
        <w:rPr>
          <w:rFonts w:ascii="Arial" w:eastAsia="Arial" w:hAnsi="Arial" w:cs="Arial"/>
          <w:sz w:val="24"/>
          <w:szCs w:val="24"/>
        </w:rPr>
        <w:t>The NTS Board and governance groups detailed above are responsible for making decisions about the allocation of funding and delivery for specific government grants in accordance with the grant or funding agreements issued by Government. Decisions made by either the NTS Board or governance groups can be queried by local authorities through their regional NTS Board member.</w:t>
      </w:r>
    </w:p>
    <w:p w14:paraId="7DEFA286" w14:textId="77777777" w:rsidR="00586207" w:rsidRPr="00CC6E43" w:rsidRDefault="00586207" w:rsidP="00CC6E43">
      <w:pPr>
        <w:spacing w:line="300" w:lineRule="auto"/>
        <w:rPr>
          <w:rFonts w:ascii="Arial" w:hAnsi="Arial" w:cs="Arial"/>
          <w:sz w:val="24"/>
          <w:szCs w:val="24"/>
        </w:rPr>
      </w:pPr>
    </w:p>
    <w:p w14:paraId="6D3AED62" w14:textId="77777777" w:rsidR="00586207" w:rsidRPr="00CC6E43" w:rsidRDefault="00DF3F8F" w:rsidP="00CC6E43">
      <w:pPr>
        <w:spacing w:line="300" w:lineRule="auto"/>
        <w:ind w:right="208"/>
        <w:rPr>
          <w:rFonts w:ascii="Arial" w:eastAsia="Arial" w:hAnsi="Arial" w:cs="Arial"/>
          <w:sz w:val="24"/>
          <w:szCs w:val="24"/>
        </w:rPr>
      </w:pPr>
      <w:r w:rsidRPr="00CC6E43">
        <w:rPr>
          <w:rFonts w:ascii="Arial" w:eastAsia="Arial" w:hAnsi="Arial" w:cs="Arial"/>
          <w:sz w:val="24"/>
          <w:szCs w:val="24"/>
        </w:rPr>
        <w:t xml:space="preserve">Should individual businesses, members of the public or other bodies have queries about NTS work or decision making then they should contact </w:t>
      </w:r>
      <w:hyperlink r:id="rId15">
        <w:r w:rsidRPr="00CC6E43">
          <w:rPr>
            <w:rFonts w:ascii="Arial" w:eastAsia="Arial" w:hAnsi="Arial" w:cs="Arial"/>
            <w:color w:val="0000FF"/>
            <w:sz w:val="24"/>
            <w:szCs w:val="24"/>
            <w:u w:val="single"/>
          </w:rPr>
          <w:t>nationaltradingstandards@actso.org.uk</w:t>
        </w:r>
      </w:hyperlink>
    </w:p>
    <w:p w14:paraId="08B1A870" w14:textId="77777777" w:rsidR="00586207" w:rsidRPr="00CC6E43" w:rsidRDefault="00586207" w:rsidP="00CC6E43">
      <w:pPr>
        <w:spacing w:line="300" w:lineRule="auto"/>
        <w:rPr>
          <w:rFonts w:ascii="Arial" w:hAnsi="Arial" w:cs="Arial"/>
          <w:sz w:val="24"/>
          <w:szCs w:val="24"/>
        </w:rPr>
      </w:pPr>
    </w:p>
    <w:p w14:paraId="22979074" w14:textId="77777777" w:rsidR="00586207" w:rsidRPr="00CC6E43" w:rsidRDefault="00DF3F8F" w:rsidP="00CC6E43">
      <w:pPr>
        <w:tabs>
          <w:tab w:val="left" w:pos="700"/>
        </w:tabs>
        <w:spacing w:line="300" w:lineRule="auto"/>
        <w:ind w:left="60"/>
        <w:rPr>
          <w:rFonts w:ascii="Arial" w:hAnsi="Arial" w:cs="Arial"/>
          <w:sz w:val="24"/>
          <w:szCs w:val="24"/>
        </w:rPr>
      </w:pPr>
      <w:r w:rsidRPr="00CC6E43">
        <w:rPr>
          <w:rFonts w:ascii="Arial" w:eastAsia="Arial" w:hAnsi="Arial" w:cs="Arial"/>
          <w:b/>
          <w:bCs/>
          <w:sz w:val="24"/>
          <w:szCs w:val="24"/>
        </w:rPr>
        <w:t>3.2</w:t>
      </w:r>
      <w:r w:rsidRPr="00CC6E43">
        <w:rPr>
          <w:rFonts w:ascii="Arial" w:hAnsi="Arial" w:cs="Arial"/>
          <w:sz w:val="24"/>
          <w:szCs w:val="24"/>
        </w:rPr>
        <w:tab/>
      </w:r>
      <w:r w:rsidRPr="00CC6E43">
        <w:rPr>
          <w:rFonts w:ascii="Arial" w:eastAsia="Arial" w:hAnsi="Arial" w:cs="Arial"/>
          <w:b/>
          <w:bCs/>
          <w:sz w:val="24"/>
          <w:szCs w:val="24"/>
        </w:rPr>
        <w:t>Local authority activities</w:t>
      </w:r>
    </w:p>
    <w:p w14:paraId="2B8D7BB9" w14:textId="77777777" w:rsidR="00586207" w:rsidRPr="00CC6E43" w:rsidRDefault="00586207" w:rsidP="00CC6E43">
      <w:pPr>
        <w:spacing w:line="300" w:lineRule="auto"/>
        <w:rPr>
          <w:rFonts w:ascii="Arial" w:hAnsi="Arial" w:cs="Arial"/>
          <w:sz w:val="24"/>
          <w:szCs w:val="24"/>
        </w:rPr>
      </w:pPr>
    </w:p>
    <w:p w14:paraId="6DD029EB" w14:textId="08B73178" w:rsidR="00586207" w:rsidRPr="00CC6E43" w:rsidRDefault="00DF3F8F" w:rsidP="00CC6E43">
      <w:pPr>
        <w:spacing w:line="300" w:lineRule="auto"/>
        <w:ind w:right="108"/>
        <w:rPr>
          <w:rFonts w:ascii="Arial" w:hAnsi="Arial" w:cs="Arial"/>
          <w:sz w:val="24"/>
          <w:szCs w:val="24"/>
        </w:rPr>
      </w:pPr>
      <w:r w:rsidRPr="00CC6E43">
        <w:rPr>
          <w:rFonts w:ascii="Arial" w:eastAsia="Arial" w:hAnsi="Arial" w:cs="Arial"/>
          <w:sz w:val="24"/>
          <w:szCs w:val="24"/>
        </w:rPr>
        <w:t>All activity</w:t>
      </w:r>
      <w:r w:rsidR="00AC189A">
        <w:rPr>
          <w:rFonts w:ascii="Arial" w:eastAsia="Arial" w:hAnsi="Arial" w:cs="Arial"/>
          <w:sz w:val="24"/>
          <w:szCs w:val="24"/>
        </w:rPr>
        <w:t xml:space="preserve"> undertaken by local authority Trading Standards S</w:t>
      </w:r>
      <w:r w:rsidRPr="00CC6E43">
        <w:rPr>
          <w:rFonts w:ascii="Arial" w:eastAsia="Arial" w:hAnsi="Arial" w:cs="Arial"/>
          <w:sz w:val="24"/>
          <w:szCs w:val="24"/>
        </w:rPr>
        <w:t>ervices is governed through existing local policies and processes</w:t>
      </w:r>
      <w:r w:rsidR="008629D3">
        <w:rPr>
          <w:rFonts w:ascii="Arial" w:eastAsia="Arial" w:hAnsi="Arial" w:cs="Arial"/>
          <w:sz w:val="24"/>
          <w:szCs w:val="24"/>
        </w:rPr>
        <w:t xml:space="preserve">. </w:t>
      </w:r>
      <w:r w:rsidRPr="00CC6E43">
        <w:rPr>
          <w:rFonts w:ascii="Arial" w:eastAsia="Arial" w:hAnsi="Arial" w:cs="Arial"/>
          <w:sz w:val="24"/>
          <w:szCs w:val="24"/>
        </w:rPr>
        <w:t>As such, any queries about any acti</w:t>
      </w:r>
      <w:r w:rsidR="00AC189A">
        <w:rPr>
          <w:rFonts w:ascii="Arial" w:eastAsia="Arial" w:hAnsi="Arial" w:cs="Arial"/>
          <w:sz w:val="24"/>
          <w:szCs w:val="24"/>
        </w:rPr>
        <w:t>vity carried out by individual Trading Standards S</w:t>
      </w:r>
      <w:r w:rsidRPr="00CC6E43">
        <w:rPr>
          <w:rFonts w:ascii="Arial" w:eastAsia="Arial" w:hAnsi="Arial" w:cs="Arial"/>
          <w:sz w:val="24"/>
          <w:szCs w:val="24"/>
        </w:rPr>
        <w:t>ervices should be raised directly with the relevant local authority.</w:t>
      </w:r>
    </w:p>
    <w:p w14:paraId="65E501AC" w14:textId="77777777" w:rsidR="00586207" w:rsidRPr="00CC6E43" w:rsidRDefault="00586207" w:rsidP="00CC6E43">
      <w:pPr>
        <w:spacing w:line="300" w:lineRule="auto"/>
        <w:rPr>
          <w:rFonts w:ascii="Arial" w:hAnsi="Arial" w:cs="Arial"/>
          <w:sz w:val="24"/>
          <w:szCs w:val="24"/>
        </w:rPr>
      </w:pPr>
    </w:p>
    <w:p w14:paraId="1D7E1381" w14:textId="77777777" w:rsidR="00586207" w:rsidRDefault="00AC189A" w:rsidP="00CC6E43">
      <w:pPr>
        <w:spacing w:line="300" w:lineRule="auto"/>
        <w:ind w:right="88"/>
        <w:rPr>
          <w:rFonts w:ascii="Arial" w:eastAsia="Arial" w:hAnsi="Arial" w:cs="Arial"/>
          <w:sz w:val="24"/>
          <w:szCs w:val="24"/>
        </w:rPr>
      </w:pPr>
      <w:r>
        <w:rPr>
          <w:rFonts w:ascii="Arial" w:eastAsia="Arial" w:hAnsi="Arial" w:cs="Arial"/>
          <w:sz w:val="24"/>
          <w:szCs w:val="24"/>
        </w:rPr>
        <w:t>Information about local Trading Standards S</w:t>
      </w:r>
      <w:r w:rsidR="00DF3F8F" w:rsidRPr="00CC6E43">
        <w:rPr>
          <w:rFonts w:ascii="Arial" w:eastAsia="Arial" w:hAnsi="Arial" w:cs="Arial"/>
          <w:sz w:val="24"/>
          <w:szCs w:val="24"/>
        </w:rPr>
        <w:t xml:space="preserve">ervices can be found on the relevant local authority website, including their enforcement policy and contact details. If businesses or members of the public are unhappy with the response they have received and do want to complain further then all local authorities will have a corporate complaints procedure in place and contact can also be made with local councillors if problems remain unresolved. </w:t>
      </w:r>
    </w:p>
    <w:p w14:paraId="08BF048C" w14:textId="77777777" w:rsidR="00AC189A" w:rsidRDefault="00AC189A" w:rsidP="00CC6E43">
      <w:pPr>
        <w:spacing w:line="300" w:lineRule="auto"/>
        <w:ind w:right="88"/>
        <w:rPr>
          <w:rFonts w:ascii="Arial" w:eastAsia="Arial" w:hAnsi="Arial" w:cs="Arial"/>
          <w:sz w:val="24"/>
          <w:szCs w:val="24"/>
        </w:rPr>
      </w:pPr>
    </w:p>
    <w:p w14:paraId="231E29AE" w14:textId="77777777" w:rsidR="00AC189A" w:rsidRPr="00CC6E43" w:rsidRDefault="00AC189A" w:rsidP="00AC189A">
      <w:pPr>
        <w:shd w:val="clear" w:color="auto" w:fill="FFFFFF"/>
        <w:spacing w:line="300" w:lineRule="auto"/>
        <w:rPr>
          <w:rFonts w:ascii="Arial" w:eastAsia="Times New Roman" w:hAnsi="Arial" w:cs="Arial"/>
          <w:color w:val="222222"/>
          <w:sz w:val="24"/>
          <w:szCs w:val="24"/>
        </w:rPr>
      </w:pPr>
      <w:r w:rsidRPr="00CC6E43">
        <w:rPr>
          <w:rFonts w:ascii="Arial" w:eastAsia="Times New Roman" w:hAnsi="Arial" w:cs="Arial"/>
          <w:color w:val="222222"/>
          <w:sz w:val="24"/>
          <w:szCs w:val="24"/>
        </w:rPr>
        <w:t>Ultimately, once these processes have been exhausted then complaints can be raised with the relevant Ombudsman. For complaints about local authorities in England, this is the Local Government and Social Care Ombudsman (LGSCO). LGSCO’s powers to investigate will depend on the exact nature of the complaint. For more details, see </w:t>
      </w:r>
      <w:hyperlink r:id="rId16" w:tgtFrame="_blank" w:history="1">
        <w:r w:rsidRPr="00CC6E43">
          <w:rPr>
            <w:rFonts w:ascii="Arial" w:eastAsia="Times New Roman" w:hAnsi="Arial" w:cs="Arial"/>
            <w:color w:val="1155CC"/>
            <w:sz w:val="24"/>
            <w:szCs w:val="24"/>
            <w:u w:val="single"/>
          </w:rPr>
          <w:t>http://www.lgo.org.uk/make-a-complaint/fact-sheets/other-topics/trading-standards</w:t>
        </w:r>
      </w:hyperlink>
      <w:r w:rsidRPr="00CC6E43">
        <w:rPr>
          <w:rFonts w:ascii="Arial" w:eastAsia="Times New Roman" w:hAnsi="Arial" w:cs="Arial"/>
          <w:color w:val="222222"/>
          <w:sz w:val="24"/>
          <w:szCs w:val="24"/>
        </w:rPr>
        <w:t>. </w:t>
      </w:r>
      <w:r>
        <w:rPr>
          <w:rFonts w:ascii="Arial" w:eastAsia="Times New Roman" w:hAnsi="Arial" w:cs="Arial"/>
          <w:color w:val="222222"/>
          <w:sz w:val="24"/>
          <w:szCs w:val="24"/>
        </w:rPr>
        <w:t xml:space="preserve"> For complaints about local authorities in Wales this is the Public Services Ombudsman </w:t>
      </w:r>
      <w:r w:rsidR="00FE1BFD">
        <w:rPr>
          <w:rFonts w:ascii="Arial" w:eastAsia="Times New Roman" w:hAnsi="Arial" w:cs="Arial"/>
          <w:color w:val="222222"/>
          <w:sz w:val="24"/>
          <w:szCs w:val="24"/>
        </w:rPr>
        <w:t xml:space="preserve">for Wales </w:t>
      </w:r>
      <w:hyperlink r:id="rId17" w:history="1">
        <w:r w:rsidR="00A20E03" w:rsidRPr="0016398A">
          <w:rPr>
            <w:rStyle w:val="Hyperlink"/>
            <w:rFonts w:ascii="Arial" w:eastAsia="Times New Roman" w:hAnsi="Arial" w:cs="Arial"/>
            <w:sz w:val="24"/>
            <w:szCs w:val="24"/>
          </w:rPr>
          <w:t>http://www.ombudsman-wales.org.uk</w:t>
        </w:r>
      </w:hyperlink>
    </w:p>
    <w:p w14:paraId="5731C23D" w14:textId="77777777" w:rsidR="00586207" w:rsidRDefault="00586207" w:rsidP="00CC6E43">
      <w:pPr>
        <w:spacing w:line="300" w:lineRule="auto"/>
        <w:rPr>
          <w:rFonts w:ascii="Arial" w:hAnsi="Arial" w:cs="Arial"/>
          <w:sz w:val="24"/>
          <w:szCs w:val="24"/>
        </w:rPr>
      </w:pPr>
    </w:p>
    <w:p w14:paraId="2AF589AF" w14:textId="77777777" w:rsidR="00AC189A" w:rsidRPr="00CC6E43" w:rsidRDefault="00AC189A" w:rsidP="00CC6E43">
      <w:pPr>
        <w:spacing w:line="300" w:lineRule="auto"/>
        <w:rPr>
          <w:rFonts w:ascii="Arial" w:hAnsi="Arial" w:cs="Arial"/>
          <w:sz w:val="24"/>
          <w:szCs w:val="24"/>
        </w:rPr>
      </w:pPr>
    </w:p>
    <w:p w14:paraId="28AFCB27" w14:textId="7CB30340" w:rsidR="00586207" w:rsidRPr="00B84E6C" w:rsidRDefault="00DF3F8F" w:rsidP="00AC189A">
      <w:pPr>
        <w:numPr>
          <w:ilvl w:val="0"/>
          <w:numId w:val="6"/>
        </w:numPr>
        <w:tabs>
          <w:tab w:val="left" w:pos="567"/>
        </w:tabs>
        <w:spacing w:line="300" w:lineRule="auto"/>
        <w:ind w:left="567" w:right="848" w:hanging="567"/>
        <w:rPr>
          <w:rFonts w:ascii="Arial" w:eastAsia="Arial" w:hAnsi="Arial" w:cs="Arial"/>
          <w:b/>
          <w:bCs/>
          <w:color w:val="4F81BD" w:themeColor="accent1"/>
          <w:sz w:val="28"/>
          <w:szCs w:val="28"/>
        </w:rPr>
      </w:pPr>
      <w:r w:rsidRPr="00B84E6C">
        <w:rPr>
          <w:rFonts w:ascii="Arial" w:eastAsia="Arial" w:hAnsi="Arial" w:cs="Arial"/>
          <w:b/>
          <w:bCs/>
          <w:color w:val="4F81BD" w:themeColor="accent1"/>
          <w:sz w:val="28"/>
          <w:szCs w:val="28"/>
        </w:rPr>
        <w:t>Understanding th</w:t>
      </w:r>
      <w:r w:rsidR="00F33ACB">
        <w:rPr>
          <w:rFonts w:ascii="Arial" w:eastAsia="Arial" w:hAnsi="Arial" w:cs="Arial"/>
          <w:b/>
          <w:bCs/>
          <w:color w:val="4F81BD" w:themeColor="accent1"/>
          <w:sz w:val="28"/>
          <w:szCs w:val="28"/>
        </w:rPr>
        <w:t xml:space="preserve">e role of the Chartered Trading </w:t>
      </w:r>
      <w:r w:rsidRPr="00B84E6C">
        <w:rPr>
          <w:rFonts w:ascii="Arial" w:eastAsia="Arial" w:hAnsi="Arial" w:cs="Arial"/>
          <w:b/>
          <w:bCs/>
          <w:color w:val="4F81BD" w:themeColor="accent1"/>
          <w:sz w:val="28"/>
          <w:szCs w:val="28"/>
        </w:rPr>
        <w:t>Standards Institute (CTSI)</w:t>
      </w:r>
      <w:r w:rsidR="00AC189A" w:rsidRPr="00B84E6C">
        <w:rPr>
          <w:rStyle w:val="FootnoteReference"/>
          <w:rFonts w:ascii="Arial" w:eastAsia="Arial" w:hAnsi="Arial" w:cs="Arial"/>
          <w:b/>
          <w:bCs/>
          <w:color w:val="4F81BD" w:themeColor="accent1"/>
          <w:sz w:val="28"/>
          <w:szCs w:val="28"/>
        </w:rPr>
        <w:footnoteReference w:id="1"/>
      </w:r>
      <w:r w:rsidRPr="00B84E6C">
        <w:rPr>
          <w:rFonts w:ascii="Arial" w:eastAsia="Arial" w:hAnsi="Arial" w:cs="Arial"/>
          <w:b/>
          <w:bCs/>
          <w:color w:val="4F81BD" w:themeColor="accent1"/>
          <w:sz w:val="28"/>
          <w:szCs w:val="28"/>
        </w:rPr>
        <w:t xml:space="preserve"> and Association of Chief Trading Standards Officers (ACTSO)</w:t>
      </w:r>
      <w:r w:rsidR="00AC189A" w:rsidRPr="00B84E6C">
        <w:rPr>
          <w:rStyle w:val="FootnoteReference"/>
          <w:rFonts w:ascii="Arial" w:eastAsia="Arial" w:hAnsi="Arial" w:cs="Arial"/>
          <w:b/>
          <w:bCs/>
          <w:color w:val="4F81BD" w:themeColor="accent1"/>
          <w:sz w:val="28"/>
          <w:szCs w:val="28"/>
        </w:rPr>
        <w:footnoteReference w:id="2"/>
      </w:r>
      <w:r w:rsidR="008629D3">
        <w:rPr>
          <w:rFonts w:ascii="Arial" w:eastAsia="Arial" w:hAnsi="Arial" w:cs="Arial"/>
          <w:b/>
          <w:bCs/>
          <w:color w:val="4F81BD" w:themeColor="accent1"/>
          <w:sz w:val="28"/>
          <w:szCs w:val="28"/>
        </w:rPr>
        <w:t xml:space="preserve"> within NTS</w:t>
      </w:r>
    </w:p>
    <w:p w14:paraId="7B116311" w14:textId="77777777" w:rsidR="00586207" w:rsidRPr="00CC6E43" w:rsidRDefault="00586207" w:rsidP="00CC6E43">
      <w:pPr>
        <w:spacing w:line="300" w:lineRule="auto"/>
        <w:rPr>
          <w:rFonts w:ascii="Arial" w:hAnsi="Arial" w:cs="Arial"/>
          <w:sz w:val="24"/>
          <w:szCs w:val="24"/>
        </w:rPr>
      </w:pPr>
    </w:p>
    <w:p w14:paraId="65128373" w14:textId="0A13AE8E" w:rsidR="00586207" w:rsidRPr="00CC6E43" w:rsidRDefault="00DF3F8F" w:rsidP="00CC6E43">
      <w:pPr>
        <w:spacing w:line="300" w:lineRule="auto"/>
        <w:ind w:right="188"/>
        <w:rPr>
          <w:rFonts w:ascii="Arial" w:hAnsi="Arial" w:cs="Arial"/>
          <w:sz w:val="24"/>
          <w:szCs w:val="24"/>
        </w:rPr>
      </w:pPr>
      <w:r w:rsidRPr="00CC6E43">
        <w:rPr>
          <w:rFonts w:ascii="Arial" w:eastAsia="Arial" w:hAnsi="Arial" w:cs="Arial"/>
          <w:sz w:val="24"/>
          <w:szCs w:val="24"/>
        </w:rPr>
        <w:t xml:space="preserve">As it is not a “public body”, in order for NTS to operate, </w:t>
      </w:r>
      <w:r w:rsidR="008629D3">
        <w:rPr>
          <w:rFonts w:ascii="Arial" w:eastAsia="Arial" w:hAnsi="Arial" w:cs="Arial"/>
          <w:sz w:val="24"/>
          <w:szCs w:val="24"/>
        </w:rPr>
        <w:t>CTSI operates a “client account</w:t>
      </w:r>
      <w:r w:rsidR="00F72CA4">
        <w:rPr>
          <w:rFonts w:ascii="Arial" w:eastAsia="Arial" w:hAnsi="Arial" w:cs="Arial"/>
          <w:sz w:val="24"/>
          <w:szCs w:val="24"/>
        </w:rPr>
        <w:t xml:space="preserve">” </w:t>
      </w:r>
      <w:r w:rsidR="00F72CA4" w:rsidRPr="00CC6E43">
        <w:rPr>
          <w:rFonts w:ascii="Arial" w:eastAsia="Arial" w:hAnsi="Arial" w:cs="Arial"/>
          <w:sz w:val="24"/>
          <w:szCs w:val="24"/>
        </w:rPr>
        <w:t>to</w:t>
      </w:r>
      <w:r w:rsidRPr="00CC6E43">
        <w:rPr>
          <w:rFonts w:ascii="Arial" w:eastAsia="Arial" w:hAnsi="Arial" w:cs="Arial"/>
          <w:sz w:val="24"/>
          <w:szCs w:val="24"/>
        </w:rPr>
        <w:t xml:space="preserve"> facilitate the receipt and onward allocation of funds and to enable the employment of staff and contractors to deliver NTS central functions. The Programme Office is run by ACTSO Limited.</w:t>
      </w:r>
    </w:p>
    <w:p w14:paraId="1249D1C9" w14:textId="77777777" w:rsidR="00586207" w:rsidRPr="00CC6E43" w:rsidRDefault="00586207" w:rsidP="00CC6E43">
      <w:pPr>
        <w:spacing w:line="300" w:lineRule="auto"/>
        <w:rPr>
          <w:rFonts w:ascii="Arial" w:hAnsi="Arial" w:cs="Arial"/>
          <w:sz w:val="24"/>
          <w:szCs w:val="24"/>
        </w:rPr>
      </w:pPr>
    </w:p>
    <w:p w14:paraId="528E6F42" w14:textId="77777777" w:rsidR="00AC189A" w:rsidRPr="00CC6E43" w:rsidRDefault="00AC189A" w:rsidP="00AC189A">
      <w:pPr>
        <w:spacing w:line="300" w:lineRule="auto"/>
        <w:rPr>
          <w:rFonts w:ascii="Arial" w:hAnsi="Arial" w:cs="Arial"/>
          <w:sz w:val="24"/>
          <w:szCs w:val="24"/>
        </w:rPr>
      </w:pPr>
    </w:p>
    <w:p w14:paraId="3D4F14B6" w14:textId="77777777" w:rsidR="00AC189A" w:rsidRPr="00B84E6C" w:rsidRDefault="00AC189A" w:rsidP="00AC189A">
      <w:pPr>
        <w:tabs>
          <w:tab w:val="left" w:pos="567"/>
        </w:tabs>
        <w:spacing w:line="300" w:lineRule="auto"/>
        <w:ind w:left="567" w:hanging="567"/>
        <w:rPr>
          <w:rFonts w:ascii="Arial" w:hAnsi="Arial" w:cs="Arial"/>
          <w:color w:val="4F81BD" w:themeColor="accent1"/>
          <w:sz w:val="28"/>
          <w:szCs w:val="28"/>
        </w:rPr>
      </w:pPr>
      <w:r w:rsidRPr="00B84E6C">
        <w:rPr>
          <w:rFonts w:ascii="Arial" w:eastAsia="Arial" w:hAnsi="Arial" w:cs="Arial"/>
          <w:b/>
          <w:bCs/>
          <w:color w:val="4F81BD" w:themeColor="accent1"/>
          <w:sz w:val="28"/>
          <w:szCs w:val="28"/>
        </w:rPr>
        <w:t>5.</w:t>
      </w:r>
      <w:r w:rsidRPr="00B84E6C">
        <w:rPr>
          <w:rFonts w:ascii="Arial" w:eastAsia="Arial" w:hAnsi="Arial" w:cs="Arial"/>
          <w:b/>
          <w:bCs/>
          <w:color w:val="4F81BD" w:themeColor="accent1"/>
          <w:sz w:val="28"/>
          <w:szCs w:val="28"/>
        </w:rPr>
        <w:tab/>
        <w:t>National Trading Standards (NTS) policies</w:t>
      </w:r>
    </w:p>
    <w:p w14:paraId="1DDA6CE0" w14:textId="77777777" w:rsidR="00AC189A" w:rsidRPr="00AC189A" w:rsidRDefault="00AC189A" w:rsidP="00AC189A">
      <w:pPr>
        <w:spacing w:line="300" w:lineRule="auto"/>
        <w:rPr>
          <w:rFonts w:ascii="Arial" w:hAnsi="Arial" w:cs="Arial"/>
          <w:color w:val="4F81BD" w:themeColor="accent1"/>
          <w:sz w:val="24"/>
          <w:szCs w:val="24"/>
        </w:rPr>
      </w:pPr>
    </w:p>
    <w:p w14:paraId="5F8F9049" w14:textId="77777777" w:rsidR="00AC189A" w:rsidRDefault="00AC189A" w:rsidP="00AC189A">
      <w:pPr>
        <w:spacing w:line="300" w:lineRule="auto"/>
        <w:ind w:right="48"/>
        <w:rPr>
          <w:rFonts w:ascii="Arial" w:eastAsia="Arial" w:hAnsi="Arial" w:cs="Arial"/>
          <w:color w:val="0000FF"/>
          <w:sz w:val="24"/>
          <w:szCs w:val="24"/>
          <w:u w:val="single"/>
        </w:rPr>
      </w:pPr>
      <w:r w:rsidRPr="00CC6E43">
        <w:rPr>
          <w:rFonts w:ascii="Arial" w:eastAsia="Arial" w:hAnsi="Arial" w:cs="Arial"/>
          <w:sz w:val="24"/>
          <w:szCs w:val="24"/>
        </w:rPr>
        <w:t xml:space="preserve">NTS makes every effort to ensure that it operates in a transparent and fair manner in all circumstances, including the employment of staff, procurement, complaints and sharing information. We have policies in place to govern all these areas, which are available on request to </w:t>
      </w:r>
      <w:hyperlink r:id="rId18">
        <w:r w:rsidRPr="00CC6E43">
          <w:rPr>
            <w:rFonts w:ascii="Arial" w:eastAsia="Arial" w:hAnsi="Arial" w:cs="Arial"/>
            <w:color w:val="0000FF"/>
            <w:sz w:val="24"/>
            <w:szCs w:val="24"/>
            <w:u w:val="single"/>
          </w:rPr>
          <w:t>nationaltradingstandards@actso.org.uk</w:t>
        </w:r>
      </w:hyperlink>
    </w:p>
    <w:p w14:paraId="219F223A" w14:textId="77777777" w:rsidR="003C5514" w:rsidRPr="00CC6E43" w:rsidRDefault="003C5514" w:rsidP="00AC189A">
      <w:pPr>
        <w:spacing w:line="300" w:lineRule="auto"/>
        <w:ind w:right="48"/>
        <w:rPr>
          <w:rFonts w:ascii="Arial" w:eastAsia="Arial" w:hAnsi="Arial" w:cs="Arial"/>
          <w:color w:val="0000FF"/>
          <w:sz w:val="24"/>
          <w:szCs w:val="24"/>
          <w:u w:val="single"/>
        </w:rPr>
      </w:pPr>
    </w:p>
    <w:p w14:paraId="70F0DF83" w14:textId="77777777" w:rsidR="00AC189A" w:rsidRPr="00B84E6C" w:rsidRDefault="00AC189A" w:rsidP="00B84E6C">
      <w:pPr>
        <w:tabs>
          <w:tab w:val="left" w:pos="567"/>
        </w:tabs>
        <w:spacing w:line="300" w:lineRule="auto"/>
        <w:ind w:left="567" w:hanging="567"/>
        <w:rPr>
          <w:rFonts w:ascii="Arial" w:hAnsi="Arial" w:cs="Arial"/>
          <w:b/>
          <w:color w:val="4F81BD" w:themeColor="accent1"/>
          <w:sz w:val="28"/>
          <w:szCs w:val="28"/>
        </w:rPr>
      </w:pPr>
      <w:r w:rsidRPr="00B84E6C">
        <w:rPr>
          <w:rFonts w:ascii="Arial" w:eastAsia="Arial" w:hAnsi="Arial" w:cs="Arial"/>
          <w:b/>
          <w:bCs/>
          <w:color w:val="4F81BD" w:themeColor="accent1"/>
          <w:sz w:val="28"/>
          <w:szCs w:val="28"/>
        </w:rPr>
        <w:t>6.</w:t>
      </w:r>
      <w:r w:rsidRPr="00B84E6C">
        <w:rPr>
          <w:rFonts w:ascii="Arial" w:eastAsia="Arial" w:hAnsi="Arial" w:cs="Arial"/>
          <w:b/>
          <w:bCs/>
          <w:color w:val="4F81BD" w:themeColor="accent1"/>
          <w:sz w:val="28"/>
          <w:szCs w:val="28"/>
        </w:rPr>
        <w:tab/>
        <w:t>How to contact National Trading Standards (NTS) for more information</w:t>
      </w:r>
    </w:p>
    <w:p w14:paraId="63BB99A0" w14:textId="77777777" w:rsidR="00AC189A" w:rsidRPr="00CC6E43" w:rsidRDefault="00AC189A" w:rsidP="00AC189A">
      <w:pPr>
        <w:spacing w:line="300" w:lineRule="auto"/>
        <w:rPr>
          <w:rFonts w:ascii="Arial" w:hAnsi="Arial" w:cs="Arial"/>
          <w:sz w:val="24"/>
          <w:szCs w:val="24"/>
        </w:rPr>
      </w:pPr>
    </w:p>
    <w:p w14:paraId="2F0184D7" w14:textId="77777777" w:rsidR="00AC189A" w:rsidRPr="00CC6E43" w:rsidRDefault="00AC189A" w:rsidP="00AC189A">
      <w:pPr>
        <w:spacing w:line="300" w:lineRule="auto"/>
        <w:ind w:right="108"/>
        <w:rPr>
          <w:rFonts w:ascii="Arial" w:eastAsia="Arial" w:hAnsi="Arial" w:cs="Arial"/>
          <w:color w:val="0000FF"/>
          <w:sz w:val="24"/>
          <w:szCs w:val="24"/>
        </w:rPr>
      </w:pPr>
      <w:r w:rsidRPr="00CC6E43">
        <w:rPr>
          <w:rFonts w:ascii="Arial" w:eastAsia="Arial" w:hAnsi="Arial" w:cs="Arial"/>
          <w:sz w:val="24"/>
          <w:szCs w:val="24"/>
        </w:rPr>
        <w:t xml:space="preserve">Further information about National Trading Standards can be found on their website at </w:t>
      </w:r>
      <w:hyperlink r:id="rId19">
        <w:r w:rsidRPr="00CC6E43">
          <w:rPr>
            <w:rFonts w:ascii="Arial" w:eastAsia="Arial" w:hAnsi="Arial" w:cs="Arial"/>
            <w:color w:val="0000FF"/>
            <w:sz w:val="24"/>
            <w:szCs w:val="24"/>
            <w:u w:val="single"/>
          </w:rPr>
          <w:t>www.nationaltradingstandards.uk</w:t>
        </w:r>
        <w:r w:rsidRPr="00CC6E43">
          <w:rPr>
            <w:rFonts w:ascii="Arial" w:eastAsia="Arial" w:hAnsi="Arial" w:cs="Arial"/>
            <w:color w:val="000000"/>
            <w:sz w:val="24"/>
            <w:szCs w:val="24"/>
          </w:rPr>
          <w:t xml:space="preserve">. </w:t>
        </w:r>
      </w:hyperlink>
      <w:r w:rsidRPr="00021FC5">
        <w:rPr>
          <w:rFonts w:ascii="Arial" w:eastAsia="Arial" w:hAnsi="Arial" w:cs="Arial"/>
          <w:sz w:val="24"/>
          <w:szCs w:val="24"/>
        </w:rPr>
        <w:t>Should</w:t>
      </w:r>
      <w:r w:rsidRPr="00CC6E43">
        <w:rPr>
          <w:rFonts w:ascii="Arial" w:eastAsia="Arial" w:hAnsi="Arial" w:cs="Arial"/>
          <w:color w:val="0000FF"/>
          <w:sz w:val="24"/>
          <w:szCs w:val="24"/>
        </w:rPr>
        <w:t xml:space="preserve"> </w:t>
      </w:r>
      <w:r w:rsidRPr="00CC6E43">
        <w:rPr>
          <w:rFonts w:ascii="Arial" w:eastAsia="Arial" w:hAnsi="Arial" w:cs="Arial"/>
          <w:color w:val="000000"/>
          <w:sz w:val="24"/>
          <w:szCs w:val="24"/>
        </w:rPr>
        <w:t>you have any queries about the information in this document</w:t>
      </w:r>
      <w:r w:rsidRPr="00CC6E43">
        <w:rPr>
          <w:rFonts w:ascii="Arial" w:eastAsia="Arial" w:hAnsi="Arial" w:cs="Arial"/>
          <w:color w:val="0000FF"/>
          <w:sz w:val="24"/>
          <w:szCs w:val="24"/>
        </w:rPr>
        <w:t xml:space="preserve"> </w:t>
      </w:r>
      <w:r w:rsidRPr="00CC6E43">
        <w:rPr>
          <w:rFonts w:ascii="Arial" w:eastAsia="Arial" w:hAnsi="Arial" w:cs="Arial"/>
          <w:color w:val="000000"/>
          <w:sz w:val="24"/>
          <w:szCs w:val="24"/>
        </w:rPr>
        <w:t>please do not hesitate to contact us directly -</w:t>
      </w:r>
    </w:p>
    <w:p w14:paraId="6851ED4A" w14:textId="77777777" w:rsidR="00AC189A" w:rsidRPr="00CC6E43" w:rsidRDefault="00AC189A" w:rsidP="00AC189A">
      <w:pPr>
        <w:spacing w:line="300" w:lineRule="auto"/>
        <w:rPr>
          <w:rFonts w:ascii="Arial" w:hAnsi="Arial" w:cs="Arial"/>
          <w:sz w:val="24"/>
          <w:szCs w:val="24"/>
        </w:rPr>
      </w:pPr>
    </w:p>
    <w:p w14:paraId="2A093123" w14:textId="77777777" w:rsidR="00AC189A" w:rsidRPr="00CC6E43" w:rsidRDefault="00AC189A" w:rsidP="00B84E6C">
      <w:pPr>
        <w:rPr>
          <w:rFonts w:ascii="Arial" w:hAnsi="Arial" w:cs="Arial"/>
          <w:sz w:val="24"/>
          <w:szCs w:val="24"/>
        </w:rPr>
      </w:pPr>
      <w:r w:rsidRPr="00CC6E43">
        <w:rPr>
          <w:rFonts w:ascii="Arial" w:eastAsia="Arial" w:hAnsi="Arial" w:cs="Arial"/>
          <w:sz w:val="24"/>
          <w:szCs w:val="24"/>
        </w:rPr>
        <w:t>National Trading Standards</w:t>
      </w:r>
    </w:p>
    <w:p w14:paraId="3DAECBDB" w14:textId="77777777" w:rsidR="00AC189A" w:rsidRPr="00CC6E43" w:rsidRDefault="00AC189A" w:rsidP="00B84E6C">
      <w:pPr>
        <w:rPr>
          <w:rFonts w:ascii="Arial" w:hAnsi="Arial" w:cs="Arial"/>
          <w:sz w:val="24"/>
          <w:szCs w:val="24"/>
        </w:rPr>
      </w:pPr>
      <w:r w:rsidRPr="00CC6E43">
        <w:rPr>
          <w:rFonts w:ascii="Arial" w:eastAsia="Arial" w:hAnsi="Arial" w:cs="Arial"/>
          <w:sz w:val="24"/>
          <w:szCs w:val="24"/>
        </w:rPr>
        <w:t>1 Sylvan Court</w:t>
      </w:r>
    </w:p>
    <w:p w14:paraId="75CF569D" w14:textId="77777777" w:rsidR="00AC189A" w:rsidRPr="00CC6E43" w:rsidRDefault="00AC189A" w:rsidP="00B84E6C">
      <w:pPr>
        <w:rPr>
          <w:rFonts w:ascii="Arial" w:hAnsi="Arial" w:cs="Arial"/>
          <w:sz w:val="24"/>
          <w:szCs w:val="24"/>
        </w:rPr>
      </w:pPr>
      <w:r w:rsidRPr="00CC6E43">
        <w:rPr>
          <w:rFonts w:ascii="Arial" w:eastAsia="Arial" w:hAnsi="Arial" w:cs="Arial"/>
          <w:sz w:val="24"/>
          <w:szCs w:val="24"/>
        </w:rPr>
        <w:t>Sylvan Way</w:t>
      </w:r>
    </w:p>
    <w:p w14:paraId="2E3ABEDF" w14:textId="77777777" w:rsidR="00AC189A" w:rsidRPr="00CC6E43" w:rsidRDefault="00AC189A" w:rsidP="00B84E6C">
      <w:pPr>
        <w:rPr>
          <w:rFonts w:ascii="Arial" w:hAnsi="Arial" w:cs="Arial"/>
          <w:sz w:val="24"/>
          <w:szCs w:val="24"/>
        </w:rPr>
      </w:pPr>
      <w:r w:rsidRPr="00CC6E43">
        <w:rPr>
          <w:rFonts w:ascii="Arial" w:eastAsia="Arial" w:hAnsi="Arial" w:cs="Arial"/>
          <w:sz w:val="24"/>
          <w:szCs w:val="24"/>
        </w:rPr>
        <w:t>Southfields Business Park</w:t>
      </w:r>
    </w:p>
    <w:p w14:paraId="1EB931FA" w14:textId="77777777" w:rsidR="00AC189A" w:rsidRPr="00CC6E43" w:rsidRDefault="00AC189A" w:rsidP="00B84E6C">
      <w:pPr>
        <w:rPr>
          <w:rFonts w:ascii="Arial" w:hAnsi="Arial" w:cs="Arial"/>
          <w:sz w:val="24"/>
          <w:szCs w:val="24"/>
        </w:rPr>
      </w:pPr>
      <w:r w:rsidRPr="00CC6E43">
        <w:rPr>
          <w:rFonts w:ascii="Arial" w:eastAsia="Arial" w:hAnsi="Arial" w:cs="Arial"/>
          <w:sz w:val="24"/>
          <w:szCs w:val="24"/>
        </w:rPr>
        <w:t>Basildon</w:t>
      </w:r>
    </w:p>
    <w:p w14:paraId="41BF09CE" w14:textId="77777777" w:rsidR="00AC189A" w:rsidRPr="00CC6E43" w:rsidRDefault="00AC189A" w:rsidP="00B84E6C">
      <w:pPr>
        <w:rPr>
          <w:rFonts w:ascii="Arial" w:hAnsi="Arial" w:cs="Arial"/>
          <w:sz w:val="24"/>
          <w:szCs w:val="24"/>
        </w:rPr>
      </w:pPr>
      <w:r w:rsidRPr="00CC6E43">
        <w:rPr>
          <w:rFonts w:ascii="Arial" w:eastAsia="Arial" w:hAnsi="Arial" w:cs="Arial"/>
          <w:sz w:val="24"/>
          <w:szCs w:val="24"/>
        </w:rPr>
        <w:t>Essex SS15 6TH</w:t>
      </w:r>
    </w:p>
    <w:p w14:paraId="58E7F056" w14:textId="77777777" w:rsidR="00AC189A" w:rsidRPr="00CC6E43" w:rsidRDefault="00AC189A" w:rsidP="00AC189A">
      <w:pPr>
        <w:spacing w:line="300" w:lineRule="auto"/>
        <w:rPr>
          <w:rFonts w:ascii="Arial" w:hAnsi="Arial" w:cs="Arial"/>
          <w:sz w:val="24"/>
          <w:szCs w:val="24"/>
        </w:rPr>
      </w:pPr>
    </w:p>
    <w:p w14:paraId="54FBFE8A" w14:textId="77777777" w:rsidR="00AC189A" w:rsidRPr="00CC6E43" w:rsidRDefault="00AC189A" w:rsidP="00AC189A">
      <w:pPr>
        <w:spacing w:line="300" w:lineRule="auto"/>
        <w:rPr>
          <w:rFonts w:ascii="Arial" w:hAnsi="Arial" w:cs="Arial"/>
          <w:sz w:val="24"/>
          <w:szCs w:val="24"/>
        </w:rPr>
      </w:pPr>
      <w:r w:rsidRPr="00CC6E43">
        <w:rPr>
          <w:rFonts w:ascii="Arial" w:eastAsia="Arial" w:hAnsi="Arial" w:cs="Arial"/>
          <w:sz w:val="24"/>
          <w:szCs w:val="24"/>
        </w:rPr>
        <w:t>Telephone number: 0345 608 9515</w:t>
      </w:r>
    </w:p>
    <w:p w14:paraId="3867FCB6" w14:textId="3003D2D5" w:rsidR="00B84E6C" w:rsidRPr="00CC6E43" w:rsidRDefault="00AC189A" w:rsidP="00CC6E43">
      <w:pPr>
        <w:spacing w:line="300" w:lineRule="auto"/>
        <w:rPr>
          <w:rFonts w:ascii="Arial" w:hAnsi="Arial" w:cs="Arial"/>
          <w:sz w:val="24"/>
          <w:szCs w:val="24"/>
        </w:rPr>
      </w:pPr>
      <w:r w:rsidRPr="00CC6E43">
        <w:rPr>
          <w:rFonts w:ascii="Arial" w:eastAsia="Arial" w:hAnsi="Arial" w:cs="Arial"/>
          <w:sz w:val="24"/>
          <w:szCs w:val="24"/>
        </w:rPr>
        <w:t xml:space="preserve">Email: </w:t>
      </w:r>
      <w:r w:rsidRPr="00CC6E43">
        <w:rPr>
          <w:rFonts w:ascii="Arial" w:eastAsia="Arial" w:hAnsi="Arial" w:cs="Arial"/>
          <w:color w:val="0000FF"/>
          <w:sz w:val="24"/>
          <w:szCs w:val="24"/>
          <w:u w:val="single"/>
        </w:rPr>
        <w:t>nationaltradingstandards@actso.org.uk</w:t>
      </w:r>
      <w:bookmarkStart w:id="3" w:name="page4"/>
      <w:bookmarkEnd w:id="3"/>
    </w:p>
    <w:p w14:paraId="30D8F884" w14:textId="77777777" w:rsidR="00F33ACB" w:rsidRDefault="00F33ACB" w:rsidP="00CC6E43">
      <w:pPr>
        <w:spacing w:line="300" w:lineRule="auto"/>
        <w:rPr>
          <w:rFonts w:ascii="Arial" w:eastAsia="Arial" w:hAnsi="Arial" w:cs="Arial"/>
          <w:b/>
          <w:bCs/>
          <w:sz w:val="24"/>
          <w:szCs w:val="24"/>
        </w:rPr>
      </w:pPr>
    </w:p>
    <w:p w14:paraId="08569F99" w14:textId="06D721BD" w:rsidR="00586207" w:rsidRPr="00CC6E43" w:rsidRDefault="00F33ACB" w:rsidP="00CC6E43">
      <w:pPr>
        <w:spacing w:line="300" w:lineRule="auto"/>
        <w:rPr>
          <w:rFonts w:ascii="Arial" w:hAnsi="Arial" w:cs="Arial"/>
          <w:sz w:val="24"/>
          <w:szCs w:val="24"/>
        </w:rPr>
      </w:pPr>
      <w:r>
        <w:rPr>
          <w:rFonts w:ascii="Arial" w:eastAsia="Arial" w:hAnsi="Arial" w:cs="Arial"/>
          <w:b/>
          <w:bCs/>
          <w:sz w:val="24"/>
          <w:szCs w:val="24"/>
        </w:rPr>
        <w:t>Updated May 2020</w:t>
      </w:r>
    </w:p>
    <w:sectPr w:rsidR="00586207" w:rsidRPr="00CC6E43" w:rsidSect="00586207">
      <w:pgSz w:w="11900" w:h="16836"/>
      <w:pgMar w:top="1437" w:right="1440" w:bottom="1440" w:left="1440" w:header="0" w:footer="0" w:gutter="0"/>
      <w:cols w:space="720" w:equalWidth="0">
        <w:col w:w="902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11561" w14:textId="77777777" w:rsidR="00DB1351" w:rsidRDefault="00DB1351" w:rsidP="002B25FB">
      <w:r>
        <w:separator/>
      </w:r>
    </w:p>
  </w:endnote>
  <w:endnote w:type="continuationSeparator" w:id="0">
    <w:p w14:paraId="49C61E8B" w14:textId="77777777" w:rsidR="00DB1351" w:rsidRDefault="00DB1351" w:rsidP="002B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B64D2" w14:textId="77777777" w:rsidR="00DB1351" w:rsidRDefault="00DB1351" w:rsidP="002B25FB">
      <w:r>
        <w:separator/>
      </w:r>
    </w:p>
  </w:footnote>
  <w:footnote w:type="continuationSeparator" w:id="0">
    <w:p w14:paraId="1434AE1D" w14:textId="77777777" w:rsidR="00DB1351" w:rsidRDefault="00DB1351" w:rsidP="002B25FB">
      <w:r>
        <w:continuationSeparator/>
      </w:r>
    </w:p>
  </w:footnote>
  <w:footnote w:id="1">
    <w:p w14:paraId="087A4979" w14:textId="77777777" w:rsidR="00AC189A" w:rsidRPr="00AC189A" w:rsidRDefault="00AC189A" w:rsidP="00AC189A">
      <w:pPr>
        <w:tabs>
          <w:tab w:val="left" w:pos="120"/>
        </w:tabs>
        <w:spacing w:line="300" w:lineRule="auto"/>
        <w:ind w:left="1" w:right="308"/>
        <w:rPr>
          <w:rFonts w:ascii="Arial" w:eastAsia="Arial" w:hAnsi="Arial" w:cs="Arial"/>
          <w:sz w:val="20"/>
          <w:szCs w:val="20"/>
        </w:rPr>
      </w:pPr>
      <w:r w:rsidRPr="00AC189A">
        <w:rPr>
          <w:rStyle w:val="FootnoteReference"/>
          <w:rFonts w:ascii="Arial" w:hAnsi="Arial" w:cs="Arial"/>
          <w:sz w:val="20"/>
          <w:szCs w:val="20"/>
        </w:rPr>
        <w:footnoteRef/>
      </w:r>
      <w:r w:rsidRPr="00AC189A">
        <w:rPr>
          <w:rFonts w:ascii="Arial" w:hAnsi="Arial" w:cs="Arial"/>
          <w:sz w:val="20"/>
          <w:szCs w:val="20"/>
        </w:rPr>
        <w:t xml:space="preserve"> </w:t>
      </w:r>
      <w:r w:rsidRPr="00AC189A">
        <w:rPr>
          <w:rFonts w:ascii="Arial" w:eastAsia="Arial" w:hAnsi="Arial" w:cs="Arial"/>
          <w:sz w:val="20"/>
          <w:szCs w:val="20"/>
        </w:rPr>
        <w:t xml:space="preserve">CTSI is a membership body that represents trading standards professionals across both the public and private sectors. Further information can be found at </w:t>
      </w:r>
      <w:hyperlink r:id="rId1">
        <w:r w:rsidRPr="00AC189A">
          <w:rPr>
            <w:rFonts w:ascii="Arial" w:eastAsia="Arial" w:hAnsi="Arial" w:cs="Arial"/>
            <w:color w:val="0000FF"/>
            <w:sz w:val="20"/>
            <w:szCs w:val="20"/>
            <w:u w:val="single"/>
          </w:rPr>
          <w:t>http://www.tradingstandards.uk/home.cfm</w:t>
        </w:r>
      </w:hyperlink>
    </w:p>
    <w:p w14:paraId="5661526A" w14:textId="77777777" w:rsidR="00AC189A" w:rsidRPr="00AC189A" w:rsidRDefault="00AC189A">
      <w:pPr>
        <w:pStyle w:val="FootnoteText"/>
        <w:rPr>
          <w:rFonts w:ascii="Arial" w:hAnsi="Arial" w:cs="Arial"/>
        </w:rPr>
      </w:pPr>
    </w:p>
  </w:footnote>
  <w:footnote w:id="2">
    <w:p w14:paraId="6EA393D5" w14:textId="77777777" w:rsidR="00AC189A" w:rsidRPr="00AC189A" w:rsidRDefault="00AC189A" w:rsidP="00AC189A">
      <w:pPr>
        <w:tabs>
          <w:tab w:val="left" w:pos="120"/>
        </w:tabs>
        <w:spacing w:line="300" w:lineRule="auto"/>
        <w:rPr>
          <w:rFonts w:ascii="Arial" w:eastAsia="Calibri" w:hAnsi="Arial" w:cs="Arial"/>
          <w:sz w:val="20"/>
          <w:szCs w:val="20"/>
          <w:vertAlign w:val="superscript"/>
        </w:rPr>
      </w:pPr>
      <w:r w:rsidRPr="00AC189A">
        <w:rPr>
          <w:rStyle w:val="FootnoteReference"/>
          <w:rFonts w:ascii="Arial" w:hAnsi="Arial" w:cs="Arial"/>
          <w:sz w:val="20"/>
          <w:szCs w:val="20"/>
        </w:rPr>
        <w:footnoteRef/>
      </w:r>
      <w:r w:rsidRPr="00AC189A">
        <w:rPr>
          <w:rFonts w:ascii="Arial" w:hAnsi="Arial" w:cs="Arial"/>
          <w:sz w:val="20"/>
          <w:szCs w:val="20"/>
        </w:rPr>
        <w:t xml:space="preserve"> </w:t>
      </w:r>
      <w:r w:rsidRPr="00AC189A">
        <w:rPr>
          <w:rFonts w:ascii="Arial" w:eastAsia="Arial" w:hAnsi="Arial" w:cs="Arial"/>
          <w:sz w:val="20"/>
          <w:szCs w:val="20"/>
        </w:rPr>
        <w:t>ACTSO is a professional body specifically for Heads of Trading Standards in England and Wales.</w:t>
      </w:r>
    </w:p>
    <w:p w14:paraId="146B3EBA" w14:textId="77777777" w:rsidR="00AC189A" w:rsidRPr="00AC189A" w:rsidRDefault="00AC189A">
      <w:pPr>
        <w:pStyle w:val="FootnoteText"/>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09E6170C"/>
    <w:lvl w:ilvl="0" w:tplc="7A4637AA">
      <w:start w:val="1"/>
      <w:numFmt w:val="decimal"/>
      <w:lvlText w:val="%1."/>
      <w:lvlJc w:val="left"/>
    </w:lvl>
    <w:lvl w:ilvl="1" w:tplc="D250D47C">
      <w:numFmt w:val="decimal"/>
      <w:lvlText w:val=""/>
      <w:lvlJc w:val="left"/>
    </w:lvl>
    <w:lvl w:ilvl="2" w:tplc="4B964EA2">
      <w:numFmt w:val="decimal"/>
      <w:lvlText w:val=""/>
      <w:lvlJc w:val="left"/>
    </w:lvl>
    <w:lvl w:ilvl="3" w:tplc="11FAE098">
      <w:numFmt w:val="decimal"/>
      <w:lvlText w:val=""/>
      <w:lvlJc w:val="left"/>
    </w:lvl>
    <w:lvl w:ilvl="4" w:tplc="D8B65134">
      <w:numFmt w:val="decimal"/>
      <w:lvlText w:val=""/>
      <w:lvlJc w:val="left"/>
    </w:lvl>
    <w:lvl w:ilvl="5" w:tplc="9FF60B9E">
      <w:numFmt w:val="decimal"/>
      <w:lvlText w:val=""/>
      <w:lvlJc w:val="left"/>
    </w:lvl>
    <w:lvl w:ilvl="6" w:tplc="051C86FE">
      <w:numFmt w:val="decimal"/>
      <w:lvlText w:val=""/>
      <w:lvlJc w:val="left"/>
    </w:lvl>
    <w:lvl w:ilvl="7" w:tplc="3DA8BD12">
      <w:numFmt w:val="decimal"/>
      <w:lvlText w:val=""/>
      <w:lvlJc w:val="left"/>
    </w:lvl>
    <w:lvl w:ilvl="8" w:tplc="CC624742">
      <w:numFmt w:val="decimal"/>
      <w:lvlText w:val=""/>
      <w:lvlJc w:val="left"/>
    </w:lvl>
  </w:abstractNum>
  <w:abstractNum w:abstractNumId="1" w15:restartNumberingAfterBreak="0">
    <w:nsid w:val="00000BB3"/>
    <w:multiLevelType w:val="hybridMultilevel"/>
    <w:tmpl w:val="3E665706"/>
    <w:lvl w:ilvl="0" w:tplc="0B08A360">
      <w:start w:val="2"/>
      <w:numFmt w:val="decimal"/>
      <w:lvlText w:val="%1."/>
      <w:lvlJc w:val="left"/>
    </w:lvl>
    <w:lvl w:ilvl="1" w:tplc="1B5AAE32">
      <w:numFmt w:val="decimal"/>
      <w:lvlText w:val=""/>
      <w:lvlJc w:val="left"/>
    </w:lvl>
    <w:lvl w:ilvl="2" w:tplc="50C629B0">
      <w:numFmt w:val="decimal"/>
      <w:lvlText w:val=""/>
      <w:lvlJc w:val="left"/>
    </w:lvl>
    <w:lvl w:ilvl="3" w:tplc="9DA8ACD6">
      <w:numFmt w:val="decimal"/>
      <w:lvlText w:val=""/>
      <w:lvlJc w:val="left"/>
    </w:lvl>
    <w:lvl w:ilvl="4" w:tplc="08AAA12C">
      <w:numFmt w:val="decimal"/>
      <w:lvlText w:val=""/>
      <w:lvlJc w:val="left"/>
    </w:lvl>
    <w:lvl w:ilvl="5" w:tplc="BD0C04AA">
      <w:numFmt w:val="decimal"/>
      <w:lvlText w:val=""/>
      <w:lvlJc w:val="left"/>
    </w:lvl>
    <w:lvl w:ilvl="6" w:tplc="54C43402">
      <w:numFmt w:val="decimal"/>
      <w:lvlText w:val=""/>
      <w:lvlJc w:val="left"/>
    </w:lvl>
    <w:lvl w:ilvl="7" w:tplc="BF8AA784">
      <w:numFmt w:val="decimal"/>
      <w:lvlText w:val=""/>
      <w:lvlJc w:val="left"/>
    </w:lvl>
    <w:lvl w:ilvl="8" w:tplc="F74E1936">
      <w:numFmt w:val="decimal"/>
      <w:lvlText w:val=""/>
      <w:lvlJc w:val="left"/>
    </w:lvl>
  </w:abstractNum>
  <w:abstractNum w:abstractNumId="2" w15:restartNumberingAfterBreak="0">
    <w:nsid w:val="000012DB"/>
    <w:multiLevelType w:val="hybridMultilevel"/>
    <w:tmpl w:val="C37E41C6"/>
    <w:lvl w:ilvl="0" w:tplc="DB7CC360">
      <w:start w:val="1"/>
      <w:numFmt w:val="bullet"/>
      <w:lvlText w:val=""/>
      <w:lvlJc w:val="left"/>
    </w:lvl>
    <w:lvl w:ilvl="1" w:tplc="D5047FEC">
      <w:numFmt w:val="decimal"/>
      <w:lvlText w:val=""/>
      <w:lvlJc w:val="left"/>
    </w:lvl>
    <w:lvl w:ilvl="2" w:tplc="DF7E62BE">
      <w:numFmt w:val="decimal"/>
      <w:lvlText w:val=""/>
      <w:lvlJc w:val="left"/>
    </w:lvl>
    <w:lvl w:ilvl="3" w:tplc="7C404546">
      <w:numFmt w:val="decimal"/>
      <w:lvlText w:val=""/>
      <w:lvlJc w:val="left"/>
    </w:lvl>
    <w:lvl w:ilvl="4" w:tplc="FFBA2C46">
      <w:numFmt w:val="decimal"/>
      <w:lvlText w:val=""/>
      <w:lvlJc w:val="left"/>
    </w:lvl>
    <w:lvl w:ilvl="5" w:tplc="CDE439FE">
      <w:numFmt w:val="decimal"/>
      <w:lvlText w:val=""/>
      <w:lvlJc w:val="left"/>
    </w:lvl>
    <w:lvl w:ilvl="6" w:tplc="0D54D1FC">
      <w:numFmt w:val="decimal"/>
      <w:lvlText w:val=""/>
      <w:lvlJc w:val="left"/>
    </w:lvl>
    <w:lvl w:ilvl="7" w:tplc="4AF64BEE">
      <w:numFmt w:val="decimal"/>
      <w:lvlText w:val=""/>
      <w:lvlJc w:val="left"/>
    </w:lvl>
    <w:lvl w:ilvl="8" w:tplc="3D541A4A">
      <w:numFmt w:val="decimal"/>
      <w:lvlText w:val=""/>
      <w:lvlJc w:val="left"/>
    </w:lvl>
  </w:abstractNum>
  <w:abstractNum w:abstractNumId="3" w15:restartNumberingAfterBreak="0">
    <w:nsid w:val="0000153C"/>
    <w:multiLevelType w:val="hybridMultilevel"/>
    <w:tmpl w:val="0B5E93F0"/>
    <w:lvl w:ilvl="0" w:tplc="DAFA2AA8">
      <w:start w:val="3"/>
      <w:numFmt w:val="decimal"/>
      <w:lvlText w:val="%1."/>
      <w:lvlJc w:val="left"/>
    </w:lvl>
    <w:lvl w:ilvl="1" w:tplc="E69A5BB8">
      <w:numFmt w:val="decimal"/>
      <w:lvlText w:val=""/>
      <w:lvlJc w:val="left"/>
    </w:lvl>
    <w:lvl w:ilvl="2" w:tplc="3C7241E8">
      <w:numFmt w:val="decimal"/>
      <w:lvlText w:val=""/>
      <w:lvlJc w:val="left"/>
    </w:lvl>
    <w:lvl w:ilvl="3" w:tplc="BA526E0C">
      <w:numFmt w:val="decimal"/>
      <w:lvlText w:val=""/>
      <w:lvlJc w:val="left"/>
    </w:lvl>
    <w:lvl w:ilvl="4" w:tplc="2974CD66">
      <w:numFmt w:val="decimal"/>
      <w:lvlText w:val=""/>
      <w:lvlJc w:val="left"/>
    </w:lvl>
    <w:lvl w:ilvl="5" w:tplc="725CCB78">
      <w:numFmt w:val="decimal"/>
      <w:lvlText w:val=""/>
      <w:lvlJc w:val="left"/>
    </w:lvl>
    <w:lvl w:ilvl="6" w:tplc="6E9001DC">
      <w:numFmt w:val="decimal"/>
      <w:lvlText w:val=""/>
      <w:lvlJc w:val="left"/>
    </w:lvl>
    <w:lvl w:ilvl="7" w:tplc="BB5A13F0">
      <w:numFmt w:val="decimal"/>
      <w:lvlText w:val=""/>
      <w:lvlJc w:val="left"/>
    </w:lvl>
    <w:lvl w:ilvl="8" w:tplc="50C04F6E">
      <w:numFmt w:val="decimal"/>
      <w:lvlText w:val=""/>
      <w:lvlJc w:val="left"/>
    </w:lvl>
  </w:abstractNum>
  <w:abstractNum w:abstractNumId="4" w15:restartNumberingAfterBreak="0">
    <w:nsid w:val="00002EA6"/>
    <w:multiLevelType w:val="hybridMultilevel"/>
    <w:tmpl w:val="7D84D28E"/>
    <w:lvl w:ilvl="0" w:tplc="3D1CB004">
      <w:start w:val="1"/>
      <w:numFmt w:val="decimal"/>
      <w:lvlText w:val="%1"/>
      <w:lvlJc w:val="left"/>
    </w:lvl>
    <w:lvl w:ilvl="1" w:tplc="2FAEB65E">
      <w:numFmt w:val="decimal"/>
      <w:lvlText w:val=""/>
      <w:lvlJc w:val="left"/>
    </w:lvl>
    <w:lvl w:ilvl="2" w:tplc="BECE575E">
      <w:numFmt w:val="decimal"/>
      <w:lvlText w:val=""/>
      <w:lvlJc w:val="left"/>
    </w:lvl>
    <w:lvl w:ilvl="3" w:tplc="11EA96F6">
      <w:numFmt w:val="decimal"/>
      <w:lvlText w:val=""/>
      <w:lvlJc w:val="left"/>
    </w:lvl>
    <w:lvl w:ilvl="4" w:tplc="C4BE29A6">
      <w:numFmt w:val="decimal"/>
      <w:lvlText w:val=""/>
      <w:lvlJc w:val="left"/>
    </w:lvl>
    <w:lvl w:ilvl="5" w:tplc="27100F7E">
      <w:numFmt w:val="decimal"/>
      <w:lvlText w:val=""/>
      <w:lvlJc w:val="left"/>
    </w:lvl>
    <w:lvl w:ilvl="6" w:tplc="93F256F2">
      <w:numFmt w:val="decimal"/>
      <w:lvlText w:val=""/>
      <w:lvlJc w:val="left"/>
    </w:lvl>
    <w:lvl w:ilvl="7" w:tplc="F7A2B718">
      <w:numFmt w:val="decimal"/>
      <w:lvlText w:val=""/>
      <w:lvlJc w:val="left"/>
    </w:lvl>
    <w:lvl w:ilvl="8" w:tplc="BACE0E6C">
      <w:numFmt w:val="decimal"/>
      <w:lvlText w:val=""/>
      <w:lvlJc w:val="left"/>
    </w:lvl>
  </w:abstractNum>
  <w:abstractNum w:abstractNumId="5" w15:restartNumberingAfterBreak="0">
    <w:nsid w:val="0000390C"/>
    <w:multiLevelType w:val="hybridMultilevel"/>
    <w:tmpl w:val="3BD02574"/>
    <w:lvl w:ilvl="0" w:tplc="57E2E816">
      <w:start w:val="2"/>
      <w:numFmt w:val="decimal"/>
      <w:lvlText w:val="%1"/>
      <w:lvlJc w:val="left"/>
    </w:lvl>
    <w:lvl w:ilvl="1" w:tplc="4D9CBA88">
      <w:numFmt w:val="decimal"/>
      <w:lvlText w:val=""/>
      <w:lvlJc w:val="left"/>
    </w:lvl>
    <w:lvl w:ilvl="2" w:tplc="891A0DD0">
      <w:numFmt w:val="decimal"/>
      <w:lvlText w:val=""/>
      <w:lvlJc w:val="left"/>
    </w:lvl>
    <w:lvl w:ilvl="3" w:tplc="3C7CCBB4">
      <w:numFmt w:val="decimal"/>
      <w:lvlText w:val=""/>
      <w:lvlJc w:val="left"/>
    </w:lvl>
    <w:lvl w:ilvl="4" w:tplc="5F666612">
      <w:numFmt w:val="decimal"/>
      <w:lvlText w:val=""/>
      <w:lvlJc w:val="left"/>
    </w:lvl>
    <w:lvl w:ilvl="5" w:tplc="3C226AA8">
      <w:numFmt w:val="decimal"/>
      <w:lvlText w:val=""/>
      <w:lvlJc w:val="left"/>
    </w:lvl>
    <w:lvl w:ilvl="6" w:tplc="081097CA">
      <w:numFmt w:val="decimal"/>
      <w:lvlText w:val=""/>
      <w:lvlJc w:val="left"/>
    </w:lvl>
    <w:lvl w:ilvl="7" w:tplc="BF3E5C62">
      <w:numFmt w:val="decimal"/>
      <w:lvlText w:val=""/>
      <w:lvlJc w:val="left"/>
    </w:lvl>
    <w:lvl w:ilvl="8" w:tplc="96C0E168">
      <w:numFmt w:val="decimal"/>
      <w:lvlText w:val=""/>
      <w:lvlJc w:val="left"/>
    </w:lvl>
  </w:abstractNum>
  <w:abstractNum w:abstractNumId="6" w15:restartNumberingAfterBreak="0">
    <w:nsid w:val="00007E87"/>
    <w:multiLevelType w:val="hybridMultilevel"/>
    <w:tmpl w:val="B0FEACEA"/>
    <w:lvl w:ilvl="0" w:tplc="193EB42C">
      <w:start w:val="4"/>
      <w:numFmt w:val="decimal"/>
      <w:lvlText w:val="%1."/>
      <w:lvlJc w:val="left"/>
    </w:lvl>
    <w:lvl w:ilvl="1" w:tplc="B4ACAFDE">
      <w:numFmt w:val="decimal"/>
      <w:lvlText w:val=""/>
      <w:lvlJc w:val="left"/>
    </w:lvl>
    <w:lvl w:ilvl="2" w:tplc="7C6A959A">
      <w:numFmt w:val="decimal"/>
      <w:lvlText w:val=""/>
      <w:lvlJc w:val="left"/>
    </w:lvl>
    <w:lvl w:ilvl="3" w:tplc="A276FC06">
      <w:numFmt w:val="decimal"/>
      <w:lvlText w:val=""/>
      <w:lvlJc w:val="left"/>
    </w:lvl>
    <w:lvl w:ilvl="4" w:tplc="3878D3CA">
      <w:numFmt w:val="decimal"/>
      <w:lvlText w:val=""/>
      <w:lvlJc w:val="left"/>
    </w:lvl>
    <w:lvl w:ilvl="5" w:tplc="63CE499A">
      <w:numFmt w:val="decimal"/>
      <w:lvlText w:val=""/>
      <w:lvlJc w:val="left"/>
    </w:lvl>
    <w:lvl w:ilvl="6" w:tplc="0CB60D82">
      <w:numFmt w:val="decimal"/>
      <w:lvlText w:val=""/>
      <w:lvlJc w:val="left"/>
    </w:lvl>
    <w:lvl w:ilvl="7" w:tplc="914CA476">
      <w:numFmt w:val="decimal"/>
      <w:lvlText w:val=""/>
      <w:lvlJc w:val="left"/>
    </w:lvl>
    <w:lvl w:ilvl="8" w:tplc="E19E188C">
      <w:numFmt w:val="decimal"/>
      <w:lvlText w:val=""/>
      <w:lvlJc w:val="left"/>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07"/>
    <w:rsid w:val="00021FC5"/>
    <w:rsid w:val="00030FDF"/>
    <w:rsid w:val="000512BE"/>
    <w:rsid w:val="00083B2F"/>
    <w:rsid w:val="000B65C0"/>
    <w:rsid w:val="001E6634"/>
    <w:rsid w:val="002B25FB"/>
    <w:rsid w:val="003C5514"/>
    <w:rsid w:val="00586207"/>
    <w:rsid w:val="00644381"/>
    <w:rsid w:val="00663146"/>
    <w:rsid w:val="006D76FA"/>
    <w:rsid w:val="0075371C"/>
    <w:rsid w:val="00764625"/>
    <w:rsid w:val="00846E75"/>
    <w:rsid w:val="008629D3"/>
    <w:rsid w:val="00865930"/>
    <w:rsid w:val="008A5750"/>
    <w:rsid w:val="009009DD"/>
    <w:rsid w:val="00943699"/>
    <w:rsid w:val="00A20E03"/>
    <w:rsid w:val="00AC189A"/>
    <w:rsid w:val="00AF1EAC"/>
    <w:rsid w:val="00B84E6C"/>
    <w:rsid w:val="00BF3C37"/>
    <w:rsid w:val="00C74C4C"/>
    <w:rsid w:val="00CC6E43"/>
    <w:rsid w:val="00D752B7"/>
    <w:rsid w:val="00DB1351"/>
    <w:rsid w:val="00DF3F8F"/>
    <w:rsid w:val="00E52879"/>
    <w:rsid w:val="00E73D09"/>
    <w:rsid w:val="00F33ACB"/>
    <w:rsid w:val="00F72CA4"/>
    <w:rsid w:val="00FE1BFD"/>
    <w:rsid w:val="00FF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2943"/>
  <w15:docId w15:val="{06682A45-A76F-4E55-B5C1-19D17F1D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E43"/>
    <w:rPr>
      <w:color w:val="0000FF"/>
      <w:u w:val="single"/>
    </w:rPr>
  </w:style>
  <w:style w:type="paragraph" w:styleId="FootnoteText">
    <w:name w:val="footnote text"/>
    <w:basedOn w:val="Normal"/>
    <w:link w:val="FootnoteTextChar"/>
    <w:uiPriority w:val="99"/>
    <w:semiHidden/>
    <w:unhideWhenUsed/>
    <w:rsid w:val="002B25FB"/>
    <w:rPr>
      <w:sz w:val="20"/>
      <w:szCs w:val="20"/>
    </w:rPr>
  </w:style>
  <w:style w:type="character" w:customStyle="1" w:styleId="FootnoteTextChar">
    <w:name w:val="Footnote Text Char"/>
    <w:basedOn w:val="DefaultParagraphFont"/>
    <w:link w:val="FootnoteText"/>
    <w:uiPriority w:val="99"/>
    <w:semiHidden/>
    <w:rsid w:val="002B25FB"/>
    <w:rPr>
      <w:sz w:val="20"/>
      <w:szCs w:val="20"/>
    </w:rPr>
  </w:style>
  <w:style w:type="character" w:styleId="FootnoteReference">
    <w:name w:val="footnote reference"/>
    <w:basedOn w:val="DefaultParagraphFont"/>
    <w:uiPriority w:val="99"/>
    <w:semiHidden/>
    <w:unhideWhenUsed/>
    <w:rsid w:val="002B25FB"/>
    <w:rPr>
      <w:vertAlign w:val="superscript"/>
    </w:rPr>
  </w:style>
  <w:style w:type="character" w:customStyle="1" w:styleId="UnresolvedMention">
    <w:name w:val="Unresolved Mention"/>
    <w:basedOn w:val="DefaultParagraphFont"/>
    <w:uiPriority w:val="99"/>
    <w:semiHidden/>
    <w:unhideWhenUsed/>
    <w:rsid w:val="00A20E03"/>
    <w:rPr>
      <w:color w:val="605E5C"/>
      <w:shd w:val="clear" w:color="auto" w:fill="E1DFDD"/>
    </w:rPr>
  </w:style>
  <w:style w:type="paragraph" w:styleId="BalloonText">
    <w:name w:val="Balloon Text"/>
    <w:basedOn w:val="Normal"/>
    <w:link w:val="BalloonTextChar"/>
    <w:uiPriority w:val="99"/>
    <w:semiHidden/>
    <w:unhideWhenUsed/>
    <w:rsid w:val="00846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75"/>
    <w:rPr>
      <w:rFonts w:ascii="Segoe UI" w:hAnsi="Segoe UI" w:cs="Segoe UI"/>
      <w:sz w:val="18"/>
      <w:szCs w:val="18"/>
    </w:rPr>
  </w:style>
  <w:style w:type="character" w:styleId="CommentReference">
    <w:name w:val="annotation reference"/>
    <w:basedOn w:val="DefaultParagraphFont"/>
    <w:uiPriority w:val="99"/>
    <w:semiHidden/>
    <w:unhideWhenUsed/>
    <w:rsid w:val="00846E75"/>
    <w:rPr>
      <w:sz w:val="16"/>
      <w:szCs w:val="16"/>
    </w:rPr>
  </w:style>
  <w:style w:type="paragraph" w:styleId="CommentText">
    <w:name w:val="annotation text"/>
    <w:basedOn w:val="Normal"/>
    <w:link w:val="CommentTextChar"/>
    <w:uiPriority w:val="99"/>
    <w:semiHidden/>
    <w:unhideWhenUsed/>
    <w:rsid w:val="00846E75"/>
    <w:rPr>
      <w:sz w:val="20"/>
      <w:szCs w:val="20"/>
    </w:rPr>
  </w:style>
  <w:style w:type="character" w:customStyle="1" w:styleId="CommentTextChar">
    <w:name w:val="Comment Text Char"/>
    <w:basedOn w:val="DefaultParagraphFont"/>
    <w:link w:val="CommentText"/>
    <w:uiPriority w:val="99"/>
    <w:semiHidden/>
    <w:rsid w:val="00846E75"/>
    <w:rPr>
      <w:sz w:val="20"/>
      <w:szCs w:val="20"/>
    </w:rPr>
  </w:style>
  <w:style w:type="paragraph" w:styleId="CommentSubject">
    <w:name w:val="annotation subject"/>
    <w:basedOn w:val="CommentText"/>
    <w:next w:val="CommentText"/>
    <w:link w:val="CommentSubjectChar"/>
    <w:uiPriority w:val="99"/>
    <w:semiHidden/>
    <w:unhideWhenUsed/>
    <w:rsid w:val="00846E75"/>
    <w:rPr>
      <w:b/>
      <w:bCs/>
    </w:rPr>
  </w:style>
  <w:style w:type="character" w:customStyle="1" w:styleId="CommentSubjectChar">
    <w:name w:val="Comment Subject Char"/>
    <w:basedOn w:val="CommentTextChar"/>
    <w:link w:val="CommentSubject"/>
    <w:uiPriority w:val="99"/>
    <w:semiHidden/>
    <w:rsid w:val="00846E75"/>
    <w:rPr>
      <w:b/>
      <w:bCs/>
      <w:sz w:val="20"/>
      <w:szCs w:val="20"/>
    </w:rPr>
  </w:style>
  <w:style w:type="paragraph" w:styleId="Header">
    <w:name w:val="header"/>
    <w:basedOn w:val="Normal"/>
    <w:link w:val="HeaderChar"/>
    <w:uiPriority w:val="99"/>
    <w:unhideWhenUsed/>
    <w:rsid w:val="00F33ACB"/>
    <w:pPr>
      <w:tabs>
        <w:tab w:val="center" w:pos="4513"/>
        <w:tab w:val="right" w:pos="9026"/>
      </w:tabs>
    </w:pPr>
  </w:style>
  <w:style w:type="character" w:customStyle="1" w:styleId="HeaderChar">
    <w:name w:val="Header Char"/>
    <w:basedOn w:val="DefaultParagraphFont"/>
    <w:link w:val="Header"/>
    <w:uiPriority w:val="99"/>
    <w:rsid w:val="00F33ACB"/>
  </w:style>
  <w:style w:type="paragraph" w:styleId="Footer">
    <w:name w:val="footer"/>
    <w:basedOn w:val="Normal"/>
    <w:link w:val="FooterChar"/>
    <w:uiPriority w:val="99"/>
    <w:unhideWhenUsed/>
    <w:rsid w:val="00F33ACB"/>
    <w:pPr>
      <w:tabs>
        <w:tab w:val="center" w:pos="4513"/>
        <w:tab w:val="right" w:pos="9026"/>
      </w:tabs>
    </w:pPr>
  </w:style>
  <w:style w:type="character" w:customStyle="1" w:styleId="FooterChar">
    <w:name w:val="Footer Char"/>
    <w:basedOn w:val="DefaultParagraphFont"/>
    <w:link w:val="Footer"/>
    <w:uiPriority w:val="99"/>
    <w:rsid w:val="00F3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2144689912">
          <w:marLeft w:val="0"/>
          <w:marRight w:val="0"/>
          <w:marTop w:val="0"/>
          <w:marBottom w:val="0"/>
          <w:divBdr>
            <w:top w:val="none" w:sz="0" w:space="0" w:color="auto"/>
            <w:left w:val="none" w:sz="0" w:space="0" w:color="auto"/>
            <w:bottom w:val="none" w:sz="0" w:space="0" w:color="auto"/>
            <w:right w:val="none" w:sz="0" w:space="0" w:color="auto"/>
          </w:divBdr>
          <w:divsChild>
            <w:div w:id="697311851">
              <w:marLeft w:val="0"/>
              <w:marRight w:val="0"/>
              <w:marTop w:val="0"/>
              <w:marBottom w:val="0"/>
              <w:divBdr>
                <w:top w:val="none" w:sz="0" w:space="0" w:color="auto"/>
                <w:left w:val="none" w:sz="0" w:space="0" w:color="auto"/>
                <w:bottom w:val="none" w:sz="0" w:space="0" w:color="auto"/>
                <w:right w:val="none" w:sz="0" w:space="0" w:color="auto"/>
              </w:divBdr>
            </w:div>
          </w:divsChild>
        </w:div>
        <w:div w:id="1352411102">
          <w:marLeft w:val="0"/>
          <w:marRight w:val="0"/>
          <w:marTop w:val="0"/>
          <w:marBottom w:val="0"/>
          <w:divBdr>
            <w:top w:val="none" w:sz="0" w:space="0" w:color="auto"/>
            <w:left w:val="none" w:sz="0" w:space="0" w:color="auto"/>
            <w:bottom w:val="none" w:sz="0" w:space="0" w:color="auto"/>
            <w:right w:val="none" w:sz="0" w:space="0" w:color="auto"/>
          </w:divBdr>
          <w:divsChild>
            <w:div w:id="1580559580">
              <w:marLeft w:val="0"/>
              <w:marRight w:val="0"/>
              <w:marTop w:val="0"/>
              <w:marBottom w:val="0"/>
              <w:divBdr>
                <w:top w:val="none" w:sz="0" w:space="0" w:color="auto"/>
                <w:left w:val="none" w:sz="0" w:space="0" w:color="auto"/>
                <w:bottom w:val="none" w:sz="0" w:space="0" w:color="auto"/>
                <w:right w:val="none" w:sz="0" w:space="0" w:color="auto"/>
              </w:divBdr>
              <w:divsChild>
                <w:div w:id="600338582">
                  <w:marLeft w:val="0"/>
                  <w:marRight w:val="0"/>
                  <w:marTop w:val="0"/>
                  <w:marBottom w:val="0"/>
                  <w:divBdr>
                    <w:top w:val="none" w:sz="0" w:space="0" w:color="auto"/>
                    <w:left w:val="none" w:sz="0" w:space="0" w:color="auto"/>
                    <w:bottom w:val="none" w:sz="0" w:space="0" w:color="auto"/>
                    <w:right w:val="none" w:sz="0" w:space="0" w:color="auto"/>
                  </w:divBdr>
                  <w:divsChild>
                    <w:div w:id="1434790205">
                      <w:marLeft w:val="0"/>
                      <w:marRight w:val="0"/>
                      <w:marTop w:val="0"/>
                      <w:marBottom w:val="0"/>
                      <w:divBdr>
                        <w:top w:val="none" w:sz="0" w:space="0" w:color="auto"/>
                        <w:left w:val="none" w:sz="0" w:space="0" w:color="auto"/>
                        <w:bottom w:val="none" w:sz="0" w:space="0" w:color="auto"/>
                        <w:right w:val="none" w:sz="0" w:space="0" w:color="auto"/>
                      </w:divBdr>
                      <w:divsChild>
                        <w:div w:id="1382048727">
                          <w:marLeft w:val="0"/>
                          <w:marRight w:val="0"/>
                          <w:marTop w:val="0"/>
                          <w:marBottom w:val="0"/>
                          <w:divBdr>
                            <w:top w:val="none" w:sz="0" w:space="0" w:color="auto"/>
                            <w:left w:val="none" w:sz="0" w:space="0" w:color="auto"/>
                            <w:bottom w:val="none" w:sz="0" w:space="0" w:color="auto"/>
                            <w:right w:val="none" w:sz="0" w:space="0" w:color="auto"/>
                          </w:divBdr>
                          <w:divsChild>
                            <w:div w:id="578901771">
                              <w:marLeft w:val="0"/>
                              <w:marRight w:val="0"/>
                              <w:marTop w:val="0"/>
                              <w:marBottom w:val="0"/>
                              <w:divBdr>
                                <w:top w:val="none" w:sz="0" w:space="0" w:color="auto"/>
                                <w:left w:val="none" w:sz="0" w:space="0" w:color="auto"/>
                                <w:bottom w:val="none" w:sz="0" w:space="0" w:color="auto"/>
                                <w:right w:val="none" w:sz="0" w:space="0" w:color="auto"/>
                              </w:divBdr>
                              <w:divsChild>
                                <w:div w:id="94057189">
                                  <w:marLeft w:val="0"/>
                                  <w:marRight w:val="0"/>
                                  <w:marTop w:val="0"/>
                                  <w:marBottom w:val="0"/>
                                  <w:divBdr>
                                    <w:top w:val="none" w:sz="0" w:space="0" w:color="auto"/>
                                    <w:left w:val="none" w:sz="0" w:space="0" w:color="auto"/>
                                    <w:bottom w:val="none" w:sz="0" w:space="0" w:color="auto"/>
                                    <w:right w:val="none" w:sz="0" w:space="0" w:color="auto"/>
                                  </w:divBdr>
                                  <w:divsChild>
                                    <w:div w:id="957836896">
                                      <w:marLeft w:val="0"/>
                                      <w:marRight w:val="0"/>
                                      <w:marTop w:val="0"/>
                                      <w:marBottom w:val="0"/>
                                      <w:divBdr>
                                        <w:top w:val="none" w:sz="0" w:space="0" w:color="auto"/>
                                        <w:left w:val="none" w:sz="0" w:space="0" w:color="auto"/>
                                        <w:bottom w:val="none" w:sz="0" w:space="0" w:color="auto"/>
                                        <w:right w:val="none" w:sz="0" w:space="0" w:color="auto"/>
                                      </w:divBdr>
                                      <w:divsChild>
                                        <w:div w:id="19866828">
                                          <w:marLeft w:val="0"/>
                                          <w:marRight w:val="0"/>
                                          <w:marTop w:val="0"/>
                                          <w:marBottom w:val="0"/>
                                          <w:divBdr>
                                            <w:top w:val="none" w:sz="0" w:space="0" w:color="auto"/>
                                            <w:left w:val="none" w:sz="0" w:space="0" w:color="auto"/>
                                            <w:bottom w:val="none" w:sz="0" w:space="0" w:color="auto"/>
                                            <w:right w:val="none" w:sz="0" w:space="0" w:color="auto"/>
                                          </w:divBdr>
                                          <w:divsChild>
                                            <w:div w:id="430468527">
                                              <w:marLeft w:val="0"/>
                                              <w:marRight w:val="0"/>
                                              <w:marTop w:val="0"/>
                                              <w:marBottom w:val="0"/>
                                              <w:divBdr>
                                                <w:top w:val="none" w:sz="0" w:space="0" w:color="auto"/>
                                                <w:left w:val="none" w:sz="0" w:space="0" w:color="auto"/>
                                                <w:bottom w:val="none" w:sz="0" w:space="0" w:color="auto"/>
                                                <w:right w:val="none" w:sz="0" w:space="0" w:color="auto"/>
                                              </w:divBdr>
                                              <w:divsChild>
                                                <w:div w:id="526257650">
                                                  <w:marLeft w:val="0"/>
                                                  <w:marRight w:val="0"/>
                                                  <w:marTop w:val="0"/>
                                                  <w:marBottom w:val="0"/>
                                                  <w:divBdr>
                                                    <w:top w:val="none" w:sz="0" w:space="0" w:color="auto"/>
                                                    <w:left w:val="none" w:sz="0" w:space="0" w:color="auto"/>
                                                    <w:bottom w:val="none" w:sz="0" w:space="0" w:color="auto"/>
                                                    <w:right w:val="none" w:sz="0" w:space="0" w:color="auto"/>
                                                  </w:divBdr>
                                                  <w:divsChild>
                                                    <w:div w:id="623771749">
                                                      <w:marLeft w:val="0"/>
                                                      <w:marRight w:val="0"/>
                                                      <w:marTop w:val="0"/>
                                                      <w:marBottom w:val="0"/>
                                                      <w:divBdr>
                                                        <w:top w:val="none" w:sz="0" w:space="0" w:color="auto"/>
                                                        <w:left w:val="none" w:sz="0" w:space="0" w:color="auto"/>
                                                        <w:bottom w:val="none" w:sz="0" w:space="0" w:color="auto"/>
                                                        <w:right w:val="none" w:sz="0" w:space="0" w:color="auto"/>
                                                      </w:divBdr>
                                                      <w:divsChild>
                                                        <w:div w:id="964430970">
                                                          <w:marLeft w:val="0"/>
                                                          <w:marRight w:val="0"/>
                                                          <w:marTop w:val="0"/>
                                                          <w:marBottom w:val="0"/>
                                                          <w:divBdr>
                                                            <w:top w:val="none" w:sz="0" w:space="0" w:color="auto"/>
                                                            <w:left w:val="none" w:sz="0" w:space="0" w:color="auto"/>
                                                            <w:bottom w:val="none" w:sz="0" w:space="0" w:color="auto"/>
                                                            <w:right w:val="none" w:sz="0" w:space="0" w:color="auto"/>
                                                          </w:divBdr>
                                                          <w:divsChild>
                                                            <w:div w:id="323242911">
                                                              <w:marLeft w:val="0"/>
                                                              <w:marRight w:val="0"/>
                                                              <w:marTop w:val="0"/>
                                                              <w:marBottom w:val="0"/>
                                                              <w:divBdr>
                                                                <w:top w:val="none" w:sz="0" w:space="0" w:color="auto"/>
                                                                <w:left w:val="none" w:sz="0" w:space="0" w:color="auto"/>
                                                                <w:bottom w:val="none" w:sz="0" w:space="0" w:color="auto"/>
                                                                <w:right w:val="none" w:sz="0" w:space="0" w:color="auto"/>
                                                              </w:divBdr>
                                                              <w:divsChild>
                                                                <w:div w:id="2130977101">
                                                                  <w:marLeft w:val="0"/>
                                                                  <w:marRight w:val="0"/>
                                                                  <w:marTop w:val="0"/>
                                                                  <w:marBottom w:val="0"/>
                                                                  <w:divBdr>
                                                                    <w:top w:val="none" w:sz="0" w:space="0" w:color="auto"/>
                                                                    <w:left w:val="none" w:sz="0" w:space="0" w:color="auto"/>
                                                                    <w:bottom w:val="none" w:sz="0" w:space="0" w:color="auto"/>
                                                                    <w:right w:val="none" w:sz="0" w:space="0" w:color="auto"/>
                                                                  </w:divBdr>
                                                                  <w:divsChild>
                                                                    <w:div w:id="73474954">
                                                                      <w:marLeft w:val="0"/>
                                                                      <w:marRight w:val="0"/>
                                                                      <w:marTop w:val="0"/>
                                                                      <w:marBottom w:val="0"/>
                                                                      <w:divBdr>
                                                                        <w:top w:val="none" w:sz="0" w:space="0" w:color="auto"/>
                                                                        <w:left w:val="none" w:sz="0" w:space="0" w:color="auto"/>
                                                                        <w:bottom w:val="none" w:sz="0" w:space="0" w:color="auto"/>
                                                                        <w:right w:val="none" w:sz="0" w:space="0" w:color="auto"/>
                                                                      </w:divBdr>
                                                                      <w:divsChild>
                                                                        <w:div w:id="2110855530">
                                                                          <w:marLeft w:val="0"/>
                                                                          <w:marRight w:val="0"/>
                                                                          <w:marTop w:val="0"/>
                                                                          <w:marBottom w:val="0"/>
                                                                          <w:divBdr>
                                                                            <w:top w:val="none" w:sz="0" w:space="0" w:color="auto"/>
                                                                            <w:left w:val="none" w:sz="0" w:space="0" w:color="auto"/>
                                                                            <w:bottom w:val="none" w:sz="0" w:space="0" w:color="auto"/>
                                                                            <w:right w:val="none" w:sz="0" w:space="0" w:color="auto"/>
                                                                          </w:divBdr>
                                                                          <w:divsChild>
                                                                            <w:div w:id="16800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07220">
              <w:marLeft w:val="0"/>
              <w:marRight w:val="0"/>
              <w:marTop w:val="0"/>
              <w:marBottom w:val="0"/>
              <w:divBdr>
                <w:top w:val="none" w:sz="0" w:space="0" w:color="auto"/>
                <w:left w:val="none" w:sz="0" w:space="0" w:color="auto"/>
                <w:bottom w:val="none" w:sz="0" w:space="0" w:color="auto"/>
                <w:right w:val="none" w:sz="0" w:space="0" w:color="auto"/>
              </w:divBdr>
              <w:divsChild>
                <w:div w:id="1050109875">
                  <w:marLeft w:val="0"/>
                  <w:marRight w:val="0"/>
                  <w:marTop w:val="0"/>
                  <w:marBottom w:val="0"/>
                  <w:divBdr>
                    <w:top w:val="none" w:sz="0" w:space="0" w:color="auto"/>
                    <w:left w:val="none" w:sz="0" w:space="0" w:color="auto"/>
                    <w:bottom w:val="none" w:sz="0" w:space="0" w:color="auto"/>
                    <w:right w:val="none" w:sz="0" w:space="0" w:color="auto"/>
                  </w:divBdr>
                  <w:divsChild>
                    <w:div w:id="1743332620">
                      <w:marLeft w:val="0"/>
                      <w:marRight w:val="0"/>
                      <w:marTop w:val="0"/>
                      <w:marBottom w:val="0"/>
                      <w:divBdr>
                        <w:top w:val="none" w:sz="0" w:space="0" w:color="auto"/>
                        <w:left w:val="none" w:sz="0" w:space="0" w:color="auto"/>
                        <w:bottom w:val="none" w:sz="0" w:space="0" w:color="auto"/>
                        <w:right w:val="none" w:sz="0" w:space="0" w:color="auto"/>
                      </w:divBdr>
                      <w:divsChild>
                        <w:div w:id="1755781917">
                          <w:marLeft w:val="0"/>
                          <w:marRight w:val="0"/>
                          <w:marTop w:val="0"/>
                          <w:marBottom w:val="0"/>
                          <w:divBdr>
                            <w:top w:val="none" w:sz="0" w:space="0" w:color="auto"/>
                            <w:left w:val="none" w:sz="0" w:space="0" w:color="auto"/>
                            <w:bottom w:val="none" w:sz="0" w:space="0" w:color="auto"/>
                            <w:right w:val="none" w:sz="0" w:space="0" w:color="auto"/>
                          </w:divBdr>
                        </w:div>
                        <w:div w:id="1003163890">
                          <w:marLeft w:val="0"/>
                          <w:marRight w:val="0"/>
                          <w:marTop w:val="0"/>
                          <w:marBottom w:val="0"/>
                          <w:divBdr>
                            <w:top w:val="none" w:sz="0" w:space="0" w:color="auto"/>
                            <w:left w:val="none" w:sz="0" w:space="0" w:color="auto"/>
                            <w:bottom w:val="none" w:sz="0" w:space="0" w:color="auto"/>
                            <w:right w:val="none" w:sz="0" w:space="0" w:color="auto"/>
                          </w:divBdr>
                        </w:div>
                        <w:div w:id="480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1.docx"/><Relationship Id="rId18" Type="http://schemas.openxmlformats.org/officeDocument/2006/relationships/hyperlink" Target="mailto:nationaltradingstandards@acts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ombudsman-wales.org.uk" TargetMode="External"/><Relationship Id="rId2" Type="http://schemas.openxmlformats.org/officeDocument/2006/relationships/customXml" Target="../customXml/item2.xml"/><Relationship Id="rId16" Type="http://schemas.openxmlformats.org/officeDocument/2006/relationships/hyperlink" Target="http://www.lgo.org.uk/make-a-complaint/fact-sheets/other-topics/trading-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ationaltradingstandards@actso.org.uk" TargetMode="External"/><Relationship Id="rId10" Type="http://schemas.openxmlformats.org/officeDocument/2006/relationships/endnotes" Target="endnotes.xml"/><Relationship Id="rId19" Type="http://schemas.openxmlformats.org/officeDocument/2006/relationships/hyperlink" Target="http://www.nationaltradingstandard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tradingstandards.uk/what-we-d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adingstandards.uk/hom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B68BE02545947867C6DBF14D67866" ma:contentTypeVersion="14" ma:contentTypeDescription="Create a new document." ma:contentTypeScope="" ma:versionID="61ab7e22af25710c8e4dca31b7385fc5">
  <xsd:schema xmlns:xsd="http://www.w3.org/2001/XMLSchema" xmlns:xs="http://www.w3.org/2001/XMLSchema" xmlns:p="http://schemas.microsoft.com/office/2006/metadata/properties" xmlns:ns1="http://schemas.microsoft.com/sharepoint/v3" xmlns:ns2="168bffd6-abb7-4054-b6d2-460fd5ec1d17" xmlns:ns3="fc82c70a-e293-4623-afed-82c2ba6bf8a5" targetNamespace="http://schemas.microsoft.com/office/2006/metadata/properties" ma:root="true" ma:fieldsID="61b2c4b10ab58af387ecfaa8fb23ce14" ns1:_="" ns2:_="" ns3:_="">
    <xsd:import namespace="http://schemas.microsoft.com/sharepoint/v3"/>
    <xsd:import namespace="168bffd6-abb7-4054-b6d2-460fd5ec1d17"/>
    <xsd:import namespace="fc82c70a-e293-4623-afed-82c2ba6bf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bffd6-abb7-4054-b6d2-460fd5ec1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2c70a-e293-4623-afed-82c2ba6bf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F3FF4-1062-4031-B75B-0086B956F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bffd6-abb7-4054-b6d2-460fd5ec1d17"/>
    <ds:schemaRef ds:uri="fc82c70a-e293-4623-afed-82c2ba6b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6F1FE-9F72-4EE4-B6A7-69499FD52084}">
  <ds:schemaRefs>
    <ds:schemaRef ds:uri="http://schemas.microsoft.com/sharepoint/v3/contenttype/forms"/>
  </ds:schemaRefs>
</ds:datastoreItem>
</file>

<file path=customXml/itemProps3.xml><?xml version="1.0" encoding="utf-8"?>
<ds:datastoreItem xmlns:ds="http://schemas.openxmlformats.org/officeDocument/2006/customXml" ds:itemID="{0A37B5AC-DA25-4BBD-98D7-380E1EB74FF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A00F3EE-6B1E-4579-8A31-7597BA8B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Vicki Gracie-Langrick</cp:lastModifiedBy>
  <cp:revision>2</cp:revision>
  <dcterms:created xsi:type="dcterms:W3CDTF">2020-05-04T12:32:00Z</dcterms:created>
  <dcterms:modified xsi:type="dcterms:W3CDTF">2020-05-04T12:32:00Z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0x01010080CB68BE02545947867C6DBF14D67866</vt:lpwstr>
  </property>
  <property fmtid="{D5CDD505-2E9C-101B-9397-08002B2CF9AE}" pid="3" name="Order">
    <vt:r8>537400</vt:r8>
  </property>
</Properties>
</file>